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D81" w:rsidRPr="003446F7" w:rsidRDefault="003446F7" w:rsidP="001651DE">
      <w:pPr>
        <w:pStyle w:val="Title"/>
        <w:rPr>
          <w:rStyle w:val="BookTitle"/>
          <w:rFonts w:asciiTheme="minorHAnsi" w:hAnsiTheme="minorHAnsi" w:cs="Arial"/>
          <w:i w:val="0"/>
          <w:sz w:val="28"/>
          <w:szCs w:val="28"/>
        </w:rPr>
      </w:pPr>
      <w:r w:rsidRPr="003446F7">
        <w:rPr>
          <w:rStyle w:val="BookTitle"/>
          <w:rFonts w:asciiTheme="minorHAnsi" w:hAnsiTheme="minorHAnsi" w:cs="Arial"/>
          <w:i w:val="0"/>
          <w:sz w:val="28"/>
          <w:szCs w:val="28"/>
        </w:rPr>
        <w:t>Article IV</w:t>
      </w:r>
      <w:r w:rsidR="001651DE" w:rsidRPr="003446F7">
        <w:rPr>
          <w:rStyle w:val="BookTitle"/>
          <w:rFonts w:asciiTheme="minorHAnsi" w:hAnsiTheme="minorHAnsi" w:cs="Arial"/>
          <w:i w:val="0"/>
          <w:sz w:val="28"/>
          <w:szCs w:val="28"/>
        </w:rPr>
        <w:t xml:space="preserve">:  </w:t>
      </w:r>
      <w:r w:rsidR="00196DF8">
        <w:rPr>
          <w:rStyle w:val="BookTitle"/>
          <w:rFonts w:asciiTheme="minorHAnsi" w:hAnsiTheme="minorHAnsi" w:cs="Arial"/>
          <w:i w:val="0"/>
          <w:sz w:val="28"/>
          <w:szCs w:val="28"/>
        </w:rPr>
        <w:t xml:space="preserve">Base </w:t>
      </w:r>
      <w:r w:rsidR="00086349" w:rsidRPr="003446F7">
        <w:rPr>
          <w:rStyle w:val="BookTitle"/>
          <w:rFonts w:asciiTheme="minorHAnsi" w:hAnsiTheme="minorHAnsi" w:cs="Arial"/>
          <w:i w:val="0"/>
          <w:sz w:val="28"/>
          <w:szCs w:val="28"/>
        </w:rPr>
        <w:t>Zoning Districts</w:t>
      </w:r>
    </w:p>
    <w:p w:rsidR="001651DE" w:rsidRPr="003446F7" w:rsidRDefault="001651DE" w:rsidP="001651DE"/>
    <w:p w:rsidR="00FE7393" w:rsidRPr="003446F7" w:rsidRDefault="003446F7" w:rsidP="00086349">
      <w:pPr>
        <w:rPr>
          <w:rFonts w:cs="Arial"/>
          <w:b/>
          <w:sz w:val="24"/>
          <w:szCs w:val="24"/>
        </w:rPr>
      </w:pPr>
      <w:r w:rsidRPr="003446F7">
        <w:rPr>
          <w:rFonts w:cs="Arial"/>
          <w:b/>
          <w:sz w:val="24"/>
          <w:szCs w:val="24"/>
        </w:rPr>
        <w:t>Section</w:t>
      </w:r>
      <w:r w:rsidR="00086349" w:rsidRPr="003446F7">
        <w:rPr>
          <w:rFonts w:cs="Arial"/>
          <w:b/>
          <w:sz w:val="24"/>
          <w:szCs w:val="24"/>
        </w:rPr>
        <w:t xml:space="preserve"> 4</w:t>
      </w:r>
      <w:r w:rsidR="001651DE" w:rsidRPr="003446F7">
        <w:rPr>
          <w:rFonts w:cs="Arial"/>
          <w:b/>
          <w:sz w:val="24"/>
          <w:szCs w:val="24"/>
        </w:rPr>
        <w:t>.1</w:t>
      </w:r>
      <w:r w:rsidR="001651DE" w:rsidRPr="003446F7">
        <w:rPr>
          <w:rFonts w:cs="Arial"/>
          <w:b/>
          <w:sz w:val="24"/>
          <w:szCs w:val="24"/>
        </w:rPr>
        <w:tab/>
      </w:r>
      <w:r w:rsidR="007F7142">
        <w:rPr>
          <w:rFonts w:cs="Arial"/>
          <w:b/>
          <w:sz w:val="24"/>
          <w:szCs w:val="24"/>
        </w:rPr>
        <w:t>Establishment of Districts</w:t>
      </w:r>
    </w:p>
    <w:p w:rsidR="00FE7393" w:rsidRPr="003446F7" w:rsidRDefault="00086349" w:rsidP="00FE7393">
      <w:pPr>
        <w:jc w:val="both"/>
        <w:rPr>
          <w:rFonts w:cs="Arial"/>
          <w:i/>
          <w:sz w:val="24"/>
          <w:szCs w:val="24"/>
        </w:rPr>
      </w:pPr>
      <w:r w:rsidRPr="003446F7">
        <w:rPr>
          <w:rFonts w:cs="Arial"/>
          <w:i/>
          <w:sz w:val="24"/>
          <w:szCs w:val="24"/>
        </w:rPr>
        <w:t>4.</w:t>
      </w:r>
      <w:r w:rsidR="00FE7393" w:rsidRPr="003446F7">
        <w:rPr>
          <w:rFonts w:cs="Arial"/>
          <w:i/>
          <w:sz w:val="24"/>
          <w:szCs w:val="24"/>
        </w:rPr>
        <w:t xml:space="preserve">1.1 </w:t>
      </w:r>
      <w:r w:rsidRPr="003446F7">
        <w:rPr>
          <w:rFonts w:cs="Arial"/>
          <w:i/>
          <w:sz w:val="24"/>
          <w:szCs w:val="24"/>
        </w:rPr>
        <w:t>Zoning Districts</w:t>
      </w:r>
    </w:p>
    <w:p w:rsidR="0085644D" w:rsidRDefault="003446F7" w:rsidP="00FE7393">
      <w:pPr>
        <w:jc w:val="both"/>
        <w:rPr>
          <w:rFonts w:cs="Arial"/>
          <w:sz w:val="24"/>
          <w:szCs w:val="24"/>
        </w:rPr>
      </w:pPr>
      <w:r>
        <w:rPr>
          <w:rFonts w:cs="Arial"/>
          <w:sz w:val="24"/>
          <w:szCs w:val="24"/>
        </w:rPr>
        <w:t>For the purpose of this Ordinance, the Town of Holly Hill is hereby divided into t</w:t>
      </w:r>
      <w:r w:rsidR="0085644D" w:rsidRPr="003446F7">
        <w:rPr>
          <w:rFonts w:cs="Arial"/>
          <w:sz w:val="24"/>
          <w:szCs w:val="24"/>
        </w:rPr>
        <w:t>he following zoning districts:</w:t>
      </w:r>
    </w:p>
    <w:p w:rsidR="0065060C" w:rsidRPr="003446F7" w:rsidRDefault="0065060C" w:rsidP="00FE7393">
      <w:pPr>
        <w:jc w:val="both"/>
        <w:rPr>
          <w:rFonts w:cs="Arial"/>
          <w:sz w:val="24"/>
          <w:szCs w:val="24"/>
        </w:rPr>
      </w:pPr>
      <w:r>
        <w:rPr>
          <w:rFonts w:cs="Arial"/>
          <w:sz w:val="24"/>
          <w:szCs w:val="24"/>
        </w:rPr>
        <w:t>Table 4-1, Zoning Map Descriptions and Designations</w:t>
      </w:r>
    </w:p>
    <w:tbl>
      <w:tblPr>
        <w:tblStyle w:val="TableGrid"/>
        <w:tblW w:w="10170" w:type="dxa"/>
        <w:tblInd w:w="-5" w:type="dxa"/>
        <w:tblLook w:val="04A0" w:firstRow="1" w:lastRow="0" w:firstColumn="1" w:lastColumn="0" w:noHBand="0" w:noVBand="1"/>
      </w:tblPr>
      <w:tblGrid>
        <w:gridCol w:w="1620"/>
        <w:gridCol w:w="4410"/>
        <w:gridCol w:w="4140"/>
      </w:tblGrid>
      <w:tr w:rsidR="003446F7" w:rsidRPr="003446F7" w:rsidTr="005021F4">
        <w:trPr>
          <w:trHeight w:val="440"/>
        </w:trPr>
        <w:tc>
          <w:tcPr>
            <w:tcW w:w="1620" w:type="dxa"/>
            <w:shd w:val="clear" w:color="auto" w:fill="BFBFBF" w:themeFill="background1" w:themeFillShade="BF"/>
          </w:tcPr>
          <w:p w:rsidR="003446F7" w:rsidRPr="003446F7" w:rsidRDefault="003446F7" w:rsidP="003446F7">
            <w:pPr>
              <w:tabs>
                <w:tab w:val="left" w:pos="285"/>
                <w:tab w:val="center" w:pos="1959"/>
              </w:tabs>
              <w:spacing w:before="240"/>
              <w:jc w:val="center"/>
              <w:rPr>
                <w:rFonts w:cs="Arial"/>
                <w:sz w:val="24"/>
                <w:szCs w:val="24"/>
              </w:rPr>
            </w:pPr>
            <w:r>
              <w:rPr>
                <w:rFonts w:cs="Arial"/>
                <w:b/>
                <w:sz w:val="24"/>
                <w:szCs w:val="24"/>
              </w:rPr>
              <w:t>Map Symbol</w:t>
            </w:r>
          </w:p>
        </w:tc>
        <w:tc>
          <w:tcPr>
            <w:tcW w:w="4410" w:type="dxa"/>
            <w:shd w:val="clear" w:color="auto" w:fill="BFBFBF" w:themeFill="background1" w:themeFillShade="BF"/>
          </w:tcPr>
          <w:p w:rsidR="003446F7" w:rsidRPr="003446F7" w:rsidRDefault="007F7142" w:rsidP="003446F7">
            <w:pPr>
              <w:tabs>
                <w:tab w:val="left" w:pos="285"/>
                <w:tab w:val="center" w:pos="1959"/>
              </w:tabs>
              <w:spacing w:before="240"/>
              <w:jc w:val="center"/>
              <w:rPr>
                <w:rFonts w:cs="Arial"/>
                <w:b/>
                <w:sz w:val="24"/>
                <w:szCs w:val="24"/>
              </w:rPr>
            </w:pPr>
            <w:r>
              <w:rPr>
                <w:rFonts w:cs="Arial"/>
                <w:b/>
                <w:sz w:val="24"/>
                <w:szCs w:val="24"/>
              </w:rPr>
              <w:t>District Description</w:t>
            </w:r>
          </w:p>
        </w:tc>
        <w:tc>
          <w:tcPr>
            <w:tcW w:w="4140" w:type="dxa"/>
            <w:shd w:val="clear" w:color="auto" w:fill="BFBFBF" w:themeFill="background1" w:themeFillShade="BF"/>
          </w:tcPr>
          <w:p w:rsidR="003446F7" w:rsidRPr="003446F7" w:rsidRDefault="003446F7" w:rsidP="003446F7">
            <w:pPr>
              <w:spacing w:before="240"/>
              <w:jc w:val="center"/>
              <w:rPr>
                <w:rFonts w:cs="Arial"/>
                <w:b/>
                <w:sz w:val="24"/>
                <w:szCs w:val="24"/>
              </w:rPr>
            </w:pPr>
            <w:r w:rsidRPr="003446F7">
              <w:rPr>
                <w:rFonts w:cs="Arial"/>
                <w:b/>
                <w:sz w:val="24"/>
                <w:szCs w:val="24"/>
              </w:rPr>
              <w:t>Comprehensive Plan Land Use Designation</w:t>
            </w:r>
          </w:p>
        </w:tc>
      </w:tr>
      <w:tr w:rsidR="0085644D" w:rsidRPr="003446F7" w:rsidTr="005021F4">
        <w:tc>
          <w:tcPr>
            <w:tcW w:w="1620" w:type="dxa"/>
            <w:shd w:val="clear" w:color="auto" w:fill="FFFF00"/>
          </w:tcPr>
          <w:p w:rsidR="0085644D" w:rsidRPr="00143F93" w:rsidRDefault="003446F7" w:rsidP="00143F93">
            <w:pPr>
              <w:jc w:val="center"/>
              <w:rPr>
                <w:rFonts w:cs="Arial"/>
                <w:b/>
                <w:sz w:val="28"/>
                <w:szCs w:val="28"/>
              </w:rPr>
            </w:pPr>
            <w:r w:rsidRPr="00143F93">
              <w:rPr>
                <w:rFonts w:cs="Arial"/>
                <w:b/>
                <w:sz w:val="28"/>
                <w:szCs w:val="28"/>
              </w:rPr>
              <w:t>R-1</w:t>
            </w:r>
          </w:p>
        </w:tc>
        <w:tc>
          <w:tcPr>
            <w:tcW w:w="4410" w:type="dxa"/>
          </w:tcPr>
          <w:p w:rsidR="0085644D" w:rsidRPr="003446F7" w:rsidRDefault="003446F7" w:rsidP="00C95A66">
            <w:pPr>
              <w:rPr>
                <w:rFonts w:cs="Arial"/>
                <w:sz w:val="24"/>
                <w:szCs w:val="24"/>
              </w:rPr>
            </w:pPr>
            <w:r>
              <w:rPr>
                <w:rFonts w:cs="Arial"/>
                <w:sz w:val="24"/>
                <w:szCs w:val="24"/>
              </w:rPr>
              <w:t xml:space="preserve">Low-Density Residential </w:t>
            </w:r>
            <w:r w:rsidR="00C95A66">
              <w:rPr>
                <w:rFonts w:cs="Arial"/>
                <w:sz w:val="24"/>
                <w:szCs w:val="24"/>
              </w:rPr>
              <w:t>District</w:t>
            </w:r>
          </w:p>
        </w:tc>
        <w:tc>
          <w:tcPr>
            <w:tcW w:w="4140" w:type="dxa"/>
          </w:tcPr>
          <w:p w:rsidR="0085644D" w:rsidRPr="003446F7" w:rsidRDefault="003446F7" w:rsidP="00C95A66">
            <w:pPr>
              <w:rPr>
                <w:rFonts w:cs="Arial"/>
                <w:sz w:val="24"/>
                <w:szCs w:val="24"/>
              </w:rPr>
            </w:pPr>
            <w:r>
              <w:rPr>
                <w:rFonts w:cs="Arial"/>
                <w:sz w:val="24"/>
                <w:szCs w:val="24"/>
              </w:rPr>
              <w:t>RSF</w:t>
            </w:r>
            <w:r w:rsidR="00C95A66">
              <w:rPr>
                <w:rFonts w:cs="Arial"/>
                <w:sz w:val="24"/>
                <w:szCs w:val="24"/>
              </w:rPr>
              <w:t>,</w:t>
            </w:r>
            <w:r>
              <w:rPr>
                <w:rFonts w:cs="Arial"/>
                <w:sz w:val="24"/>
                <w:szCs w:val="24"/>
              </w:rPr>
              <w:t xml:space="preserve"> Single-Family Residential</w:t>
            </w:r>
          </w:p>
        </w:tc>
      </w:tr>
      <w:tr w:rsidR="008C6039" w:rsidRPr="003446F7" w:rsidTr="005021F4">
        <w:tc>
          <w:tcPr>
            <w:tcW w:w="1620" w:type="dxa"/>
            <w:shd w:val="clear" w:color="auto" w:fill="FFC000"/>
          </w:tcPr>
          <w:p w:rsidR="008C6039" w:rsidRPr="00143F93" w:rsidRDefault="003446F7" w:rsidP="00143F93">
            <w:pPr>
              <w:jc w:val="center"/>
              <w:rPr>
                <w:rFonts w:cs="Arial"/>
                <w:b/>
                <w:sz w:val="28"/>
                <w:szCs w:val="28"/>
                <w:highlight w:val="yellow"/>
              </w:rPr>
            </w:pPr>
            <w:r w:rsidRPr="00143F93">
              <w:rPr>
                <w:rFonts w:cs="Arial"/>
                <w:b/>
                <w:sz w:val="28"/>
                <w:szCs w:val="28"/>
              </w:rPr>
              <w:t>R-2</w:t>
            </w:r>
          </w:p>
        </w:tc>
        <w:tc>
          <w:tcPr>
            <w:tcW w:w="4410" w:type="dxa"/>
          </w:tcPr>
          <w:p w:rsidR="008C6039" w:rsidRPr="003446F7" w:rsidRDefault="003446F7" w:rsidP="00C95A66">
            <w:pPr>
              <w:rPr>
                <w:rFonts w:cs="Arial"/>
                <w:sz w:val="24"/>
                <w:szCs w:val="24"/>
                <w:highlight w:val="yellow"/>
              </w:rPr>
            </w:pPr>
            <w:r w:rsidRPr="003446F7">
              <w:rPr>
                <w:rFonts w:cs="Arial"/>
                <w:sz w:val="24"/>
                <w:szCs w:val="24"/>
              </w:rPr>
              <w:t>Medium-Density Residential</w:t>
            </w:r>
            <w:r w:rsidR="00C95A66">
              <w:rPr>
                <w:rFonts w:cs="Arial"/>
                <w:sz w:val="24"/>
                <w:szCs w:val="24"/>
              </w:rPr>
              <w:t xml:space="preserve"> District</w:t>
            </w:r>
          </w:p>
        </w:tc>
        <w:tc>
          <w:tcPr>
            <w:tcW w:w="4140" w:type="dxa"/>
          </w:tcPr>
          <w:p w:rsidR="008C6039" w:rsidRPr="003446F7" w:rsidRDefault="00C95A66" w:rsidP="00C95A66">
            <w:pPr>
              <w:rPr>
                <w:rFonts w:cs="Arial"/>
                <w:sz w:val="24"/>
                <w:szCs w:val="24"/>
              </w:rPr>
            </w:pPr>
            <w:r>
              <w:rPr>
                <w:rFonts w:cs="Arial"/>
                <w:sz w:val="24"/>
                <w:szCs w:val="24"/>
              </w:rPr>
              <w:t xml:space="preserve">RSF and </w:t>
            </w:r>
            <w:r w:rsidR="003446F7">
              <w:rPr>
                <w:rFonts w:cs="Arial"/>
                <w:sz w:val="24"/>
                <w:szCs w:val="24"/>
              </w:rPr>
              <w:t>RMF</w:t>
            </w:r>
            <w:r>
              <w:rPr>
                <w:rFonts w:cs="Arial"/>
                <w:sz w:val="24"/>
                <w:szCs w:val="24"/>
              </w:rPr>
              <w:t>,</w:t>
            </w:r>
            <w:r w:rsidR="003446F7">
              <w:rPr>
                <w:rFonts w:cs="Arial"/>
                <w:sz w:val="24"/>
                <w:szCs w:val="24"/>
              </w:rPr>
              <w:t xml:space="preserve"> Multi-Family Residential</w:t>
            </w:r>
          </w:p>
        </w:tc>
      </w:tr>
      <w:tr w:rsidR="007F19E3" w:rsidRPr="003446F7" w:rsidTr="005021F4">
        <w:tc>
          <w:tcPr>
            <w:tcW w:w="1620" w:type="dxa"/>
            <w:shd w:val="clear" w:color="auto" w:fill="966F00"/>
          </w:tcPr>
          <w:p w:rsidR="003446F7" w:rsidRPr="00143F93" w:rsidRDefault="003446F7" w:rsidP="00143F93">
            <w:pPr>
              <w:jc w:val="center"/>
              <w:rPr>
                <w:rFonts w:cs="Arial"/>
                <w:b/>
                <w:sz w:val="28"/>
                <w:szCs w:val="28"/>
              </w:rPr>
            </w:pPr>
          </w:p>
          <w:p w:rsidR="007F19E3" w:rsidRPr="00143F93" w:rsidRDefault="003446F7" w:rsidP="00143F93">
            <w:pPr>
              <w:jc w:val="center"/>
              <w:rPr>
                <w:rFonts w:cs="Arial"/>
                <w:b/>
                <w:sz w:val="28"/>
                <w:szCs w:val="28"/>
              </w:rPr>
            </w:pPr>
            <w:r w:rsidRPr="00143F93">
              <w:rPr>
                <w:rFonts w:cs="Arial"/>
                <w:b/>
                <w:sz w:val="28"/>
                <w:szCs w:val="28"/>
              </w:rPr>
              <w:t>R-3</w:t>
            </w:r>
          </w:p>
        </w:tc>
        <w:tc>
          <w:tcPr>
            <w:tcW w:w="4410" w:type="dxa"/>
          </w:tcPr>
          <w:p w:rsidR="007F19E3" w:rsidRPr="003446F7" w:rsidRDefault="003446F7" w:rsidP="00C95A66">
            <w:pPr>
              <w:rPr>
                <w:rFonts w:cs="Arial"/>
                <w:sz w:val="24"/>
                <w:szCs w:val="24"/>
              </w:rPr>
            </w:pPr>
            <w:r>
              <w:rPr>
                <w:rFonts w:cs="Arial"/>
                <w:sz w:val="24"/>
                <w:szCs w:val="24"/>
              </w:rPr>
              <w:t>High-Density Residential and Manufactured Housing</w:t>
            </w:r>
            <w:r w:rsidR="00C95A66">
              <w:rPr>
                <w:rFonts w:cs="Arial"/>
                <w:sz w:val="24"/>
                <w:szCs w:val="24"/>
              </w:rPr>
              <w:t xml:space="preserve"> District</w:t>
            </w:r>
          </w:p>
        </w:tc>
        <w:tc>
          <w:tcPr>
            <w:tcW w:w="4140" w:type="dxa"/>
          </w:tcPr>
          <w:p w:rsidR="00C95A66" w:rsidRDefault="00C95A66" w:rsidP="00C95A66">
            <w:pPr>
              <w:rPr>
                <w:rFonts w:cs="Arial"/>
                <w:sz w:val="24"/>
                <w:szCs w:val="24"/>
              </w:rPr>
            </w:pPr>
          </w:p>
          <w:p w:rsidR="007F19E3" w:rsidRPr="003446F7" w:rsidRDefault="00C95A66" w:rsidP="00C95A66">
            <w:pPr>
              <w:rPr>
                <w:rFonts w:cs="Arial"/>
                <w:sz w:val="24"/>
                <w:szCs w:val="24"/>
              </w:rPr>
            </w:pPr>
            <w:r>
              <w:rPr>
                <w:rFonts w:cs="Arial"/>
                <w:sz w:val="24"/>
                <w:szCs w:val="24"/>
              </w:rPr>
              <w:t>RMF and RMH, Manufactured Housing</w:t>
            </w:r>
          </w:p>
        </w:tc>
      </w:tr>
      <w:tr w:rsidR="007F19E3" w:rsidRPr="003446F7" w:rsidTr="005021F4">
        <w:tc>
          <w:tcPr>
            <w:tcW w:w="1620" w:type="dxa"/>
            <w:shd w:val="clear" w:color="auto" w:fill="FF0000"/>
          </w:tcPr>
          <w:p w:rsidR="007F19E3" w:rsidRPr="00143F93" w:rsidRDefault="00C95A66" w:rsidP="00143F93">
            <w:pPr>
              <w:jc w:val="center"/>
              <w:rPr>
                <w:rFonts w:cs="Arial"/>
                <w:b/>
                <w:sz w:val="28"/>
                <w:szCs w:val="28"/>
              </w:rPr>
            </w:pPr>
            <w:r w:rsidRPr="00143F93">
              <w:rPr>
                <w:rFonts w:cs="Arial"/>
                <w:b/>
                <w:sz w:val="28"/>
                <w:szCs w:val="28"/>
              </w:rPr>
              <w:t>C-1</w:t>
            </w:r>
          </w:p>
        </w:tc>
        <w:tc>
          <w:tcPr>
            <w:tcW w:w="4410" w:type="dxa"/>
          </w:tcPr>
          <w:p w:rsidR="007F19E3" w:rsidRPr="003446F7" w:rsidRDefault="00C95A66" w:rsidP="00C95A66">
            <w:pPr>
              <w:rPr>
                <w:rFonts w:cs="Arial"/>
                <w:sz w:val="24"/>
                <w:szCs w:val="24"/>
              </w:rPr>
            </w:pPr>
            <w:r>
              <w:rPr>
                <w:rFonts w:cs="Arial"/>
                <w:sz w:val="24"/>
                <w:szCs w:val="24"/>
              </w:rPr>
              <w:t>Central Commercial District</w:t>
            </w:r>
          </w:p>
        </w:tc>
        <w:tc>
          <w:tcPr>
            <w:tcW w:w="4140" w:type="dxa"/>
          </w:tcPr>
          <w:p w:rsidR="007F19E3" w:rsidRPr="003446F7" w:rsidRDefault="00C95A66" w:rsidP="00C95A66">
            <w:pPr>
              <w:rPr>
                <w:rFonts w:cs="Arial"/>
                <w:sz w:val="24"/>
                <w:szCs w:val="24"/>
              </w:rPr>
            </w:pPr>
            <w:r>
              <w:rPr>
                <w:rFonts w:cs="Arial"/>
                <w:sz w:val="24"/>
                <w:szCs w:val="24"/>
              </w:rPr>
              <w:t>Com, Commercial</w:t>
            </w:r>
          </w:p>
        </w:tc>
      </w:tr>
      <w:tr w:rsidR="007F19E3" w:rsidRPr="003446F7" w:rsidTr="005021F4">
        <w:trPr>
          <w:trHeight w:val="332"/>
        </w:trPr>
        <w:tc>
          <w:tcPr>
            <w:tcW w:w="1620" w:type="dxa"/>
            <w:shd w:val="clear" w:color="auto" w:fill="FFB3B3"/>
          </w:tcPr>
          <w:p w:rsidR="007F19E3" w:rsidRPr="00143F93" w:rsidRDefault="00C95A66" w:rsidP="00143F93">
            <w:pPr>
              <w:jc w:val="center"/>
              <w:rPr>
                <w:rFonts w:cs="Arial"/>
                <w:b/>
                <w:sz w:val="28"/>
                <w:szCs w:val="28"/>
              </w:rPr>
            </w:pPr>
            <w:r w:rsidRPr="00143F93">
              <w:rPr>
                <w:rFonts w:cs="Arial"/>
                <w:b/>
                <w:sz w:val="28"/>
                <w:szCs w:val="28"/>
              </w:rPr>
              <w:t>C-2</w:t>
            </w:r>
          </w:p>
        </w:tc>
        <w:tc>
          <w:tcPr>
            <w:tcW w:w="4410" w:type="dxa"/>
          </w:tcPr>
          <w:p w:rsidR="007F19E3" w:rsidRPr="003446F7" w:rsidRDefault="00C95A66" w:rsidP="00C95A66">
            <w:pPr>
              <w:rPr>
                <w:rFonts w:cs="Arial"/>
                <w:sz w:val="24"/>
                <w:szCs w:val="24"/>
              </w:rPr>
            </w:pPr>
            <w:r>
              <w:rPr>
                <w:rFonts w:cs="Arial"/>
                <w:sz w:val="24"/>
                <w:szCs w:val="24"/>
              </w:rPr>
              <w:t>General Commercial District</w:t>
            </w:r>
          </w:p>
        </w:tc>
        <w:tc>
          <w:tcPr>
            <w:tcW w:w="4140" w:type="dxa"/>
          </w:tcPr>
          <w:p w:rsidR="007F19E3" w:rsidRPr="003446F7" w:rsidRDefault="00C95A66" w:rsidP="00C95A66">
            <w:pPr>
              <w:rPr>
                <w:rFonts w:cs="Arial"/>
                <w:sz w:val="24"/>
                <w:szCs w:val="24"/>
              </w:rPr>
            </w:pPr>
            <w:r>
              <w:rPr>
                <w:rFonts w:cs="Arial"/>
                <w:sz w:val="24"/>
                <w:szCs w:val="24"/>
              </w:rPr>
              <w:t>Com, Commercial</w:t>
            </w:r>
          </w:p>
        </w:tc>
      </w:tr>
      <w:tr w:rsidR="007F19E3" w:rsidRPr="003446F7" w:rsidTr="005021F4">
        <w:tc>
          <w:tcPr>
            <w:tcW w:w="1620" w:type="dxa"/>
            <w:shd w:val="clear" w:color="auto" w:fill="C00000"/>
          </w:tcPr>
          <w:p w:rsidR="007F19E3" w:rsidRPr="00143F93" w:rsidRDefault="00C95A66" w:rsidP="00143F93">
            <w:pPr>
              <w:jc w:val="center"/>
              <w:rPr>
                <w:rFonts w:cs="Arial"/>
                <w:b/>
                <w:sz w:val="28"/>
                <w:szCs w:val="28"/>
              </w:rPr>
            </w:pPr>
            <w:r w:rsidRPr="00143F93">
              <w:rPr>
                <w:rFonts w:cs="Arial"/>
                <w:b/>
                <w:color w:val="000000" w:themeColor="text1"/>
                <w:sz w:val="28"/>
                <w:szCs w:val="28"/>
              </w:rPr>
              <w:t>C-3</w:t>
            </w:r>
          </w:p>
        </w:tc>
        <w:tc>
          <w:tcPr>
            <w:tcW w:w="4410" w:type="dxa"/>
          </w:tcPr>
          <w:p w:rsidR="007F19E3" w:rsidRPr="003446F7" w:rsidRDefault="00C95A66" w:rsidP="00C95A66">
            <w:pPr>
              <w:rPr>
                <w:rFonts w:cs="Arial"/>
                <w:sz w:val="24"/>
                <w:szCs w:val="24"/>
              </w:rPr>
            </w:pPr>
            <w:r>
              <w:rPr>
                <w:rFonts w:cs="Arial"/>
                <w:sz w:val="24"/>
                <w:szCs w:val="24"/>
              </w:rPr>
              <w:t>Limited Commercial District</w:t>
            </w:r>
          </w:p>
        </w:tc>
        <w:tc>
          <w:tcPr>
            <w:tcW w:w="4140" w:type="dxa"/>
          </w:tcPr>
          <w:p w:rsidR="007F19E3" w:rsidRPr="003446F7" w:rsidRDefault="00C95A66" w:rsidP="00C95A66">
            <w:pPr>
              <w:rPr>
                <w:rFonts w:cs="Arial"/>
                <w:sz w:val="24"/>
                <w:szCs w:val="24"/>
              </w:rPr>
            </w:pPr>
            <w:r>
              <w:rPr>
                <w:rFonts w:cs="Arial"/>
                <w:sz w:val="24"/>
                <w:szCs w:val="24"/>
              </w:rPr>
              <w:t>Com, Commercial</w:t>
            </w:r>
          </w:p>
        </w:tc>
      </w:tr>
      <w:tr w:rsidR="003879EA" w:rsidRPr="003446F7" w:rsidTr="005021F4">
        <w:tc>
          <w:tcPr>
            <w:tcW w:w="1620" w:type="dxa"/>
            <w:shd w:val="clear" w:color="auto" w:fill="00B0F0"/>
          </w:tcPr>
          <w:p w:rsidR="003879EA" w:rsidRPr="00143F93" w:rsidRDefault="00C95A66" w:rsidP="00143F93">
            <w:pPr>
              <w:jc w:val="center"/>
              <w:rPr>
                <w:rFonts w:cs="Arial"/>
                <w:b/>
                <w:sz w:val="28"/>
                <w:szCs w:val="28"/>
              </w:rPr>
            </w:pPr>
            <w:r w:rsidRPr="00143F93">
              <w:rPr>
                <w:rFonts w:cs="Arial"/>
                <w:b/>
                <w:sz w:val="28"/>
                <w:szCs w:val="28"/>
              </w:rPr>
              <w:t>LI</w:t>
            </w:r>
          </w:p>
        </w:tc>
        <w:tc>
          <w:tcPr>
            <w:tcW w:w="4410" w:type="dxa"/>
            <w:shd w:val="clear" w:color="auto" w:fill="auto"/>
          </w:tcPr>
          <w:p w:rsidR="003879EA" w:rsidRPr="00C95A66" w:rsidRDefault="00C95A66" w:rsidP="00C95A66">
            <w:pPr>
              <w:rPr>
                <w:rFonts w:cs="Arial"/>
                <w:sz w:val="24"/>
                <w:szCs w:val="24"/>
              </w:rPr>
            </w:pPr>
            <w:r w:rsidRPr="00C95A66">
              <w:rPr>
                <w:rFonts w:cs="Arial"/>
                <w:sz w:val="24"/>
                <w:szCs w:val="24"/>
              </w:rPr>
              <w:t>Light Industrial District</w:t>
            </w:r>
          </w:p>
        </w:tc>
        <w:tc>
          <w:tcPr>
            <w:tcW w:w="4140" w:type="dxa"/>
            <w:shd w:val="clear" w:color="auto" w:fill="auto"/>
          </w:tcPr>
          <w:p w:rsidR="003879EA" w:rsidRPr="00C95A66" w:rsidRDefault="00C95A66" w:rsidP="00C95A66">
            <w:pPr>
              <w:rPr>
                <w:rFonts w:cs="Arial"/>
                <w:sz w:val="24"/>
                <w:szCs w:val="24"/>
              </w:rPr>
            </w:pPr>
            <w:r>
              <w:rPr>
                <w:rFonts w:cs="Arial"/>
                <w:sz w:val="24"/>
                <w:szCs w:val="24"/>
              </w:rPr>
              <w:t>IND, Industrial</w:t>
            </w:r>
            <w:r w:rsidR="00143F93">
              <w:rPr>
                <w:rFonts w:cs="Arial"/>
                <w:sz w:val="24"/>
                <w:szCs w:val="24"/>
              </w:rPr>
              <w:t xml:space="preserve"> and Com</w:t>
            </w:r>
          </w:p>
        </w:tc>
      </w:tr>
    </w:tbl>
    <w:p w:rsidR="00C95A66" w:rsidRDefault="00C95A66" w:rsidP="00FE7393">
      <w:pPr>
        <w:jc w:val="both"/>
        <w:rPr>
          <w:rFonts w:cs="Arial"/>
          <w:i/>
          <w:sz w:val="24"/>
          <w:szCs w:val="24"/>
        </w:rPr>
      </w:pPr>
    </w:p>
    <w:p w:rsidR="00833299" w:rsidRPr="003446F7" w:rsidRDefault="00086349" w:rsidP="00FE7393">
      <w:pPr>
        <w:jc w:val="both"/>
        <w:rPr>
          <w:rFonts w:cs="Arial"/>
          <w:i/>
          <w:sz w:val="24"/>
          <w:szCs w:val="24"/>
        </w:rPr>
      </w:pPr>
      <w:r w:rsidRPr="003446F7">
        <w:rPr>
          <w:rFonts w:cs="Arial"/>
          <w:i/>
          <w:sz w:val="24"/>
          <w:szCs w:val="24"/>
        </w:rPr>
        <w:t>4</w:t>
      </w:r>
      <w:r w:rsidR="00FE7393" w:rsidRPr="003446F7">
        <w:rPr>
          <w:rFonts w:cs="Arial"/>
          <w:i/>
          <w:sz w:val="24"/>
          <w:szCs w:val="24"/>
        </w:rPr>
        <w:t xml:space="preserve">.1.2 </w:t>
      </w:r>
      <w:r w:rsidR="00833299" w:rsidRPr="003446F7">
        <w:rPr>
          <w:rFonts w:cs="Arial"/>
          <w:i/>
          <w:sz w:val="24"/>
          <w:szCs w:val="24"/>
        </w:rPr>
        <w:t xml:space="preserve"> </w:t>
      </w:r>
      <w:r w:rsidRPr="003446F7">
        <w:rPr>
          <w:rFonts w:cs="Arial"/>
          <w:i/>
          <w:sz w:val="24"/>
          <w:szCs w:val="24"/>
        </w:rPr>
        <w:t>Zoning District References</w:t>
      </w:r>
      <w:r w:rsidR="00FE7393" w:rsidRPr="003446F7">
        <w:rPr>
          <w:rFonts w:cs="Arial"/>
          <w:i/>
          <w:sz w:val="24"/>
          <w:szCs w:val="24"/>
        </w:rPr>
        <w:t xml:space="preserve"> </w:t>
      </w:r>
    </w:p>
    <w:p w:rsidR="00886D7D" w:rsidRPr="00143F93" w:rsidRDefault="000E7C16" w:rsidP="00FE7393">
      <w:pPr>
        <w:jc w:val="both"/>
        <w:rPr>
          <w:rFonts w:cs="Arial"/>
          <w:sz w:val="24"/>
          <w:szCs w:val="24"/>
        </w:rPr>
      </w:pPr>
      <w:r w:rsidRPr="003446F7">
        <w:rPr>
          <w:rFonts w:cs="Arial"/>
          <w:sz w:val="24"/>
          <w:szCs w:val="24"/>
        </w:rPr>
        <w:t>References in this Ordinance to “nonresidential” zoning districts shall be construed as references to all base zoning distr</w:t>
      </w:r>
      <w:r w:rsidR="00143F93">
        <w:rPr>
          <w:rFonts w:cs="Arial"/>
          <w:sz w:val="24"/>
          <w:szCs w:val="24"/>
        </w:rPr>
        <w:t>icts beginning with the letters</w:t>
      </w:r>
      <w:r w:rsidR="00886D7D" w:rsidRPr="003446F7">
        <w:rPr>
          <w:rFonts w:cs="Arial"/>
          <w:sz w:val="24"/>
          <w:szCs w:val="24"/>
        </w:rPr>
        <w:t xml:space="preserve"> “C” (Commercial), “I” (Industrial).  References to “residential” zoning districts shall be construed as references to all base zoning districts beginning with the letter “R”.  </w:t>
      </w:r>
    </w:p>
    <w:p w:rsidR="00833299" w:rsidRPr="003446F7" w:rsidRDefault="00086349" w:rsidP="00FE7393">
      <w:pPr>
        <w:jc w:val="both"/>
        <w:rPr>
          <w:rFonts w:cs="Arial"/>
          <w:i/>
          <w:sz w:val="24"/>
          <w:szCs w:val="24"/>
        </w:rPr>
      </w:pPr>
      <w:r w:rsidRPr="003446F7">
        <w:rPr>
          <w:rFonts w:cs="Arial"/>
          <w:i/>
          <w:sz w:val="24"/>
          <w:szCs w:val="24"/>
        </w:rPr>
        <w:t>4</w:t>
      </w:r>
      <w:r w:rsidR="00833299" w:rsidRPr="003446F7">
        <w:rPr>
          <w:rFonts w:cs="Arial"/>
          <w:i/>
          <w:sz w:val="24"/>
          <w:szCs w:val="24"/>
        </w:rPr>
        <w:t xml:space="preserve">.1.3  </w:t>
      </w:r>
      <w:r w:rsidRPr="003446F7">
        <w:rPr>
          <w:rFonts w:cs="Arial"/>
          <w:i/>
          <w:sz w:val="24"/>
          <w:szCs w:val="24"/>
        </w:rPr>
        <w:t>Zoning District Hierarchy</w:t>
      </w:r>
    </w:p>
    <w:p w:rsidR="004370E9" w:rsidRPr="00E86108" w:rsidRDefault="00886D7D" w:rsidP="00E86108">
      <w:pPr>
        <w:jc w:val="both"/>
        <w:rPr>
          <w:rFonts w:cs="Arial"/>
          <w:sz w:val="24"/>
          <w:szCs w:val="24"/>
        </w:rPr>
      </w:pPr>
      <w:r w:rsidRPr="003446F7">
        <w:rPr>
          <w:rFonts w:cs="Arial"/>
          <w:sz w:val="24"/>
          <w:szCs w:val="24"/>
        </w:rPr>
        <w:t xml:space="preserve">Under the </w:t>
      </w:r>
      <w:r w:rsidR="008C6039" w:rsidRPr="003446F7">
        <w:rPr>
          <w:rFonts w:cs="Arial"/>
          <w:sz w:val="24"/>
          <w:szCs w:val="24"/>
        </w:rPr>
        <w:t>hierarchy estab</w:t>
      </w:r>
      <w:r w:rsidR="00100C73">
        <w:rPr>
          <w:rFonts w:cs="Arial"/>
          <w:sz w:val="24"/>
          <w:szCs w:val="24"/>
        </w:rPr>
        <w:t>lished by this Ordinance, the R-1</w:t>
      </w:r>
      <w:r w:rsidR="008C6039" w:rsidRPr="003446F7">
        <w:rPr>
          <w:rFonts w:cs="Arial"/>
          <w:sz w:val="24"/>
          <w:szCs w:val="24"/>
        </w:rPr>
        <w:t xml:space="preserve"> district is the most restrictive base zoning district, while the </w:t>
      </w:r>
      <w:r w:rsidR="00100C73">
        <w:rPr>
          <w:rFonts w:cs="Arial"/>
          <w:sz w:val="24"/>
          <w:szCs w:val="24"/>
        </w:rPr>
        <w:t>C-3</w:t>
      </w:r>
      <w:r w:rsidR="008C6039" w:rsidRPr="003446F7">
        <w:rPr>
          <w:rFonts w:cs="Arial"/>
          <w:sz w:val="24"/>
          <w:szCs w:val="24"/>
        </w:rPr>
        <w:t xml:space="preserve"> district is the least restrictive base zoning district.  The table of Section 4.1.1 presents the districts in order, from most to least restrictive.  The Planned Development, Overlay and Special Purpose zoning districts are not included in</w:t>
      </w:r>
      <w:r w:rsidR="00100C73">
        <w:rPr>
          <w:rFonts w:cs="Arial"/>
          <w:sz w:val="24"/>
          <w:szCs w:val="24"/>
        </w:rPr>
        <w:t xml:space="preserve"> the zoning district hierarchy.</w:t>
      </w:r>
    </w:p>
    <w:p w:rsidR="007E667E" w:rsidRDefault="007E667E">
      <w:pPr>
        <w:rPr>
          <w:rFonts w:cs="Arial"/>
          <w:i/>
          <w:sz w:val="24"/>
          <w:szCs w:val="24"/>
        </w:rPr>
      </w:pPr>
      <w:r>
        <w:rPr>
          <w:rFonts w:cs="Arial"/>
          <w:i/>
          <w:sz w:val="24"/>
          <w:szCs w:val="24"/>
        </w:rPr>
        <w:br w:type="page"/>
      </w:r>
    </w:p>
    <w:p w:rsidR="00AB1083" w:rsidRPr="004370E9" w:rsidRDefault="00086349" w:rsidP="004370E9">
      <w:pPr>
        <w:rPr>
          <w:rFonts w:cs="Arial"/>
          <w:sz w:val="24"/>
          <w:szCs w:val="24"/>
        </w:rPr>
      </w:pPr>
      <w:r w:rsidRPr="004370E9">
        <w:rPr>
          <w:rFonts w:cs="Arial"/>
          <w:i/>
          <w:sz w:val="24"/>
          <w:szCs w:val="24"/>
        </w:rPr>
        <w:lastRenderedPageBreak/>
        <w:t>4</w:t>
      </w:r>
      <w:r w:rsidR="00E86108">
        <w:rPr>
          <w:rFonts w:cs="Arial"/>
          <w:i/>
          <w:sz w:val="24"/>
          <w:szCs w:val="24"/>
        </w:rPr>
        <w:t>.1.4</w:t>
      </w:r>
      <w:r w:rsidR="00AB1083" w:rsidRPr="004370E9">
        <w:rPr>
          <w:rFonts w:cs="Arial"/>
          <w:i/>
          <w:sz w:val="24"/>
          <w:szCs w:val="24"/>
        </w:rPr>
        <w:t xml:space="preserve">  </w:t>
      </w:r>
      <w:r w:rsidRPr="004370E9">
        <w:rPr>
          <w:rFonts w:cs="Arial"/>
          <w:i/>
          <w:sz w:val="24"/>
          <w:szCs w:val="24"/>
        </w:rPr>
        <w:t>Density</w:t>
      </w:r>
      <w:r w:rsidR="00AB1083" w:rsidRPr="004370E9">
        <w:rPr>
          <w:rFonts w:cs="Arial"/>
          <w:i/>
          <w:sz w:val="24"/>
          <w:szCs w:val="24"/>
        </w:rPr>
        <w:t xml:space="preserve"> </w:t>
      </w:r>
    </w:p>
    <w:p w:rsidR="00060DE6" w:rsidRPr="003446F7" w:rsidRDefault="00060DE6" w:rsidP="00AB1083">
      <w:pPr>
        <w:jc w:val="both"/>
        <w:rPr>
          <w:rFonts w:cs="Arial"/>
          <w:sz w:val="24"/>
          <w:szCs w:val="24"/>
        </w:rPr>
      </w:pPr>
      <w:r w:rsidRPr="003446F7">
        <w:rPr>
          <w:rFonts w:cs="Arial"/>
          <w:sz w:val="24"/>
          <w:szCs w:val="24"/>
        </w:rPr>
        <w:t xml:space="preserve">Density refers to the number of </w:t>
      </w:r>
      <w:r w:rsidR="00DC6AA3" w:rsidRPr="003446F7">
        <w:rPr>
          <w:rFonts w:cs="Arial"/>
          <w:sz w:val="24"/>
          <w:szCs w:val="24"/>
        </w:rPr>
        <w:t xml:space="preserve">permitted </w:t>
      </w:r>
      <w:r w:rsidRPr="003446F7">
        <w:rPr>
          <w:rFonts w:cs="Arial"/>
          <w:sz w:val="24"/>
          <w:szCs w:val="24"/>
        </w:rPr>
        <w:t>dwelling units per unit of land area.  Density is calculated by dividing the number of dwelling units on a site by the gr</w:t>
      </w:r>
      <w:r w:rsidR="00DC6AA3" w:rsidRPr="003446F7">
        <w:rPr>
          <w:rFonts w:cs="Arial"/>
          <w:sz w:val="24"/>
          <w:szCs w:val="24"/>
        </w:rPr>
        <w:t>oss area (in acres) of land to be developed. The number of dwelling units allowed on a site is based on the presumption that all other applicable standards of this Ordinance shall be met. The maximum density established for a district is not a guarantee that such densities may be obtained, nor shall the inability of a development to achieve the stated maximum density be considered sufficient justification for varying or otherwise adjusting other density, intensity or dimensional standards of this Ordinance.</w:t>
      </w:r>
    </w:p>
    <w:p w:rsidR="00115E60" w:rsidRPr="007F7142" w:rsidRDefault="00086349" w:rsidP="00AB1083">
      <w:pPr>
        <w:jc w:val="both"/>
        <w:rPr>
          <w:rFonts w:cs="Arial"/>
          <w:i/>
          <w:sz w:val="24"/>
          <w:szCs w:val="24"/>
        </w:rPr>
      </w:pPr>
      <w:r w:rsidRPr="007F7142">
        <w:rPr>
          <w:rFonts w:cs="Arial"/>
          <w:i/>
          <w:sz w:val="24"/>
          <w:szCs w:val="24"/>
        </w:rPr>
        <w:t>4</w:t>
      </w:r>
      <w:r w:rsidR="00E86108">
        <w:rPr>
          <w:rFonts w:cs="Arial"/>
          <w:i/>
          <w:sz w:val="24"/>
          <w:szCs w:val="24"/>
        </w:rPr>
        <w:t>.1.5</w:t>
      </w:r>
      <w:r w:rsidR="00AB1083" w:rsidRPr="007F7142">
        <w:rPr>
          <w:rFonts w:cs="Arial"/>
          <w:i/>
          <w:sz w:val="24"/>
          <w:szCs w:val="24"/>
        </w:rPr>
        <w:t xml:space="preserve"> </w:t>
      </w:r>
      <w:r w:rsidR="00115E60" w:rsidRPr="007F7142">
        <w:rPr>
          <w:rFonts w:cs="Arial"/>
          <w:i/>
          <w:sz w:val="24"/>
          <w:szCs w:val="24"/>
        </w:rPr>
        <w:t xml:space="preserve"> </w:t>
      </w:r>
      <w:r w:rsidRPr="007F7142">
        <w:rPr>
          <w:rFonts w:cs="Arial"/>
          <w:i/>
          <w:sz w:val="24"/>
          <w:szCs w:val="24"/>
        </w:rPr>
        <w:t>Lot Area</w:t>
      </w:r>
    </w:p>
    <w:p w:rsidR="009A347F" w:rsidRPr="007F7142" w:rsidRDefault="009A347F" w:rsidP="009A347F">
      <w:pPr>
        <w:numPr>
          <w:ilvl w:val="0"/>
          <w:numId w:val="10"/>
        </w:numPr>
        <w:spacing w:before="60" w:after="60" w:line="250" w:lineRule="atLeast"/>
        <w:ind w:left="240"/>
        <w:jc w:val="both"/>
        <w:rPr>
          <w:rFonts w:eastAsia="Times New Roman" w:cs="Arial"/>
          <w:color w:val="111111"/>
          <w:sz w:val="24"/>
          <w:szCs w:val="24"/>
        </w:rPr>
      </w:pPr>
      <w:r w:rsidRPr="007F7142">
        <w:rPr>
          <w:rFonts w:eastAsia="Times New Roman" w:cs="Arial"/>
          <w:bCs/>
          <w:color w:val="111111"/>
          <w:sz w:val="24"/>
          <w:szCs w:val="24"/>
        </w:rPr>
        <w:t>Measurement</w:t>
      </w:r>
    </w:p>
    <w:p w:rsidR="009A347F" w:rsidRPr="003446F7" w:rsidRDefault="009005D9" w:rsidP="00946ABD">
      <w:pPr>
        <w:spacing w:before="120" w:after="120" w:line="250" w:lineRule="atLeast"/>
        <w:ind w:left="240"/>
        <w:jc w:val="both"/>
        <w:rPr>
          <w:rFonts w:eastAsia="Times New Roman" w:cs="Arial"/>
          <w:color w:val="111111"/>
          <w:sz w:val="24"/>
          <w:szCs w:val="24"/>
        </w:rPr>
      </w:pPr>
      <w:hyperlink r:id="rId7" w:tgtFrame="_blank" w:history="1">
        <w:r w:rsidR="009A347F" w:rsidRPr="003446F7">
          <w:rPr>
            <w:rFonts w:eastAsia="Times New Roman" w:cs="Arial"/>
            <w:color w:val="000000"/>
            <w:sz w:val="24"/>
            <w:szCs w:val="24"/>
          </w:rPr>
          <w:t>Lot</w:t>
        </w:r>
      </w:hyperlink>
      <w:r w:rsidR="009A347F" w:rsidRPr="003446F7">
        <w:rPr>
          <w:rFonts w:eastAsia="Times New Roman" w:cs="Arial"/>
          <w:color w:val="111111"/>
          <w:sz w:val="24"/>
          <w:szCs w:val="24"/>
        </w:rPr>
        <w:t> area refers to the horizontal land area within lot lines.</w:t>
      </w:r>
    </w:p>
    <w:p w:rsidR="009A347F" w:rsidRPr="007F7142" w:rsidRDefault="009A347F" w:rsidP="009A347F">
      <w:pPr>
        <w:numPr>
          <w:ilvl w:val="0"/>
          <w:numId w:val="10"/>
        </w:numPr>
        <w:spacing w:before="60" w:after="60" w:line="250" w:lineRule="atLeast"/>
        <w:ind w:left="240"/>
        <w:jc w:val="both"/>
        <w:rPr>
          <w:rFonts w:eastAsia="Times New Roman" w:cs="Arial"/>
          <w:color w:val="111111"/>
          <w:sz w:val="24"/>
          <w:szCs w:val="24"/>
        </w:rPr>
      </w:pPr>
      <w:r w:rsidRPr="007F7142">
        <w:rPr>
          <w:rFonts w:eastAsia="Times New Roman" w:cs="Arial"/>
          <w:bCs/>
          <w:color w:val="111111"/>
          <w:sz w:val="24"/>
          <w:szCs w:val="24"/>
        </w:rPr>
        <w:t>Exceptions</w:t>
      </w:r>
    </w:p>
    <w:p w:rsidR="009A347F" w:rsidRPr="003446F7" w:rsidRDefault="009A347F" w:rsidP="009A347F">
      <w:pPr>
        <w:spacing w:before="120" w:after="120" w:line="250" w:lineRule="atLeast"/>
        <w:ind w:left="240"/>
        <w:jc w:val="both"/>
        <w:rPr>
          <w:rFonts w:eastAsia="Times New Roman" w:cs="Arial"/>
          <w:color w:val="111111"/>
          <w:sz w:val="24"/>
          <w:szCs w:val="24"/>
        </w:rPr>
      </w:pPr>
      <w:r w:rsidRPr="003446F7">
        <w:rPr>
          <w:rFonts w:eastAsia="Times New Roman" w:cs="Arial"/>
          <w:color w:val="111111"/>
          <w:sz w:val="24"/>
          <w:szCs w:val="24"/>
        </w:rPr>
        <w:t>No </w:t>
      </w:r>
      <w:hyperlink r:id="rId8" w:tgtFrame="_blank" w:history="1">
        <w:r w:rsidRPr="003446F7">
          <w:rPr>
            <w:rFonts w:eastAsia="Times New Roman" w:cs="Arial"/>
            <w:color w:val="000000"/>
            <w:sz w:val="24"/>
            <w:szCs w:val="24"/>
          </w:rPr>
          <w:t>zoning permit</w:t>
        </w:r>
      </w:hyperlink>
      <w:r w:rsidRPr="003446F7">
        <w:rPr>
          <w:rFonts w:eastAsia="Times New Roman" w:cs="Arial"/>
          <w:color w:val="111111"/>
          <w:sz w:val="24"/>
          <w:szCs w:val="24"/>
        </w:rPr>
        <w:t>, </w:t>
      </w:r>
      <w:hyperlink r:id="rId9" w:tgtFrame="_blank" w:history="1">
        <w:r w:rsidRPr="003446F7">
          <w:rPr>
            <w:rFonts w:eastAsia="Times New Roman" w:cs="Arial"/>
            <w:color w:val="000000"/>
            <w:sz w:val="24"/>
            <w:szCs w:val="24"/>
          </w:rPr>
          <w:t>building permit</w:t>
        </w:r>
      </w:hyperlink>
      <w:r w:rsidRPr="003446F7">
        <w:rPr>
          <w:rFonts w:eastAsia="Times New Roman" w:cs="Arial"/>
          <w:color w:val="111111"/>
          <w:sz w:val="24"/>
          <w:szCs w:val="24"/>
        </w:rPr>
        <w:t> or </w:t>
      </w:r>
      <w:hyperlink r:id="rId10" w:tgtFrame="_blank" w:history="1">
        <w:r w:rsidRPr="003446F7">
          <w:rPr>
            <w:rFonts w:eastAsia="Times New Roman" w:cs="Arial"/>
            <w:color w:val="000000"/>
            <w:sz w:val="24"/>
            <w:szCs w:val="24"/>
          </w:rPr>
          <w:t>development</w:t>
        </w:r>
      </w:hyperlink>
      <w:r w:rsidRPr="003446F7">
        <w:rPr>
          <w:rFonts w:eastAsia="Times New Roman" w:cs="Arial"/>
          <w:color w:val="111111"/>
          <w:sz w:val="24"/>
          <w:szCs w:val="24"/>
        </w:rPr>
        <w:t> approval may be issued for a lot that does not meet the minimum </w:t>
      </w:r>
      <w:hyperlink r:id="rId11" w:tgtFrame="_blank" w:history="1">
        <w:r w:rsidRPr="003446F7">
          <w:rPr>
            <w:rFonts w:eastAsia="Times New Roman" w:cs="Arial"/>
            <w:color w:val="000000"/>
            <w:sz w:val="24"/>
            <w:szCs w:val="24"/>
          </w:rPr>
          <w:t>lot area</w:t>
        </w:r>
      </w:hyperlink>
      <w:r w:rsidRPr="003446F7">
        <w:rPr>
          <w:rFonts w:eastAsia="Times New Roman" w:cs="Arial"/>
          <w:color w:val="111111"/>
          <w:sz w:val="24"/>
          <w:szCs w:val="24"/>
        </w:rPr>
        <w:t xml:space="preserve"> requirements of this Ordinance except in the following cases:</w:t>
      </w:r>
    </w:p>
    <w:p w:rsidR="009A347F" w:rsidRPr="003446F7" w:rsidRDefault="009005D9" w:rsidP="009A347F">
      <w:pPr>
        <w:numPr>
          <w:ilvl w:val="1"/>
          <w:numId w:val="10"/>
        </w:numPr>
        <w:spacing w:before="60" w:after="60" w:line="250" w:lineRule="atLeast"/>
        <w:ind w:left="480"/>
        <w:jc w:val="both"/>
        <w:rPr>
          <w:rFonts w:eastAsia="Times New Roman" w:cs="Arial"/>
          <w:color w:val="111111"/>
          <w:sz w:val="24"/>
          <w:szCs w:val="24"/>
        </w:rPr>
      </w:pPr>
      <w:hyperlink r:id="rId12" w:tgtFrame="_blank" w:history="1">
        <w:r w:rsidR="009A347F" w:rsidRPr="003446F7">
          <w:rPr>
            <w:rFonts w:eastAsia="Times New Roman" w:cs="Arial"/>
            <w:color w:val="000000"/>
            <w:sz w:val="24"/>
            <w:szCs w:val="24"/>
          </w:rPr>
          <w:t>Nonconforming lots</w:t>
        </w:r>
      </w:hyperlink>
      <w:r w:rsidR="009A347F" w:rsidRPr="003446F7">
        <w:rPr>
          <w:rFonts w:eastAsia="Times New Roman" w:cs="Arial"/>
          <w:color w:val="111111"/>
          <w:sz w:val="24"/>
          <w:szCs w:val="24"/>
        </w:rPr>
        <w:t xml:space="preserve"> may be used in accordance with the provisions contained in </w:t>
      </w:r>
      <w:r w:rsidR="007F7142">
        <w:rPr>
          <w:rFonts w:eastAsia="Times New Roman" w:cs="Arial"/>
          <w:color w:val="111111"/>
          <w:sz w:val="24"/>
          <w:szCs w:val="24"/>
        </w:rPr>
        <w:t>Article</w:t>
      </w:r>
      <w:r w:rsidR="009A347F" w:rsidRPr="003446F7">
        <w:rPr>
          <w:rFonts w:eastAsia="Times New Roman" w:cs="Arial"/>
          <w:color w:val="111111"/>
          <w:sz w:val="24"/>
          <w:szCs w:val="24"/>
        </w:rPr>
        <w:t xml:space="preserve"> </w:t>
      </w:r>
      <w:r w:rsidR="00BC106C" w:rsidRPr="003446F7">
        <w:rPr>
          <w:rFonts w:eastAsia="Times New Roman" w:cs="Arial"/>
          <w:color w:val="111111"/>
          <w:sz w:val="24"/>
          <w:szCs w:val="24"/>
        </w:rPr>
        <w:t>9</w:t>
      </w:r>
      <w:r w:rsidR="009A347F" w:rsidRPr="003446F7">
        <w:rPr>
          <w:rFonts w:eastAsia="Times New Roman" w:cs="Arial"/>
          <w:color w:val="111111"/>
          <w:sz w:val="24"/>
          <w:szCs w:val="24"/>
        </w:rPr>
        <w:t xml:space="preserve"> of this Ordinance.</w:t>
      </w:r>
    </w:p>
    <w:p w:rsidR="007F7142" w:rsidRPr="007F7142" w:rsidRDefault="009005D9" w:rsidP="007F7142">
      <w:pPr>
        <w:numPr>
          <w:ilvl w:val="1"/>
          <w:numId w:val="10"/>
        </w:numPr>
        <w:spacing w:before="60" w:after="60" w:line="250" w:lineRule="atLeast"/>
        <w:ind w:left="480"/>
        <w:jc w:val="both"/>
        <w:rPr>
          <w:rFonts w:eastAsia="Times New Roman" w:cs="Arial"/>
          <w:color w:val="111111"/>
          <w:sz w:val="24"/>
          <w:szCs w:val="24"/>
        </w:rPr>
      </w:pPr>
      <w:hyperlink r:id="rId13" w:tgtFrame="_blank" w:history="1">
        <w:r w:rsidR="009A347F" w:rsidRPr="003446F7">
          <w:rPr>
            <w:rFonts w:eastAsia="Times New Roman" w:cs="Arial"/>
            <w:color w:val="000000"/>
            <w:sz w:val="24"/>
            <w:szCs w:val="24"/>
          </w:rPr>
          <w:t>Utilities</w:t>
        </w:r>
      </w:hyperlink>
      <w:r w:rsidR="009A347F" w:rsidRPr="003446F7">
        <w:rPr>
          <w:rFonts w:eastAsia="Times New Roman" w:cs="Arial"/>
          <w:color w:val="111111"/>
          <w:sz w:val="24"/>
          <w:szCs w:val="24"/>
        </w:rPr>
        <w:t> using land or an unoccupied </w:t>
      </w:r>
      <w:hyperlink r:id="rId14" w:tgtFrame="_blank" w:history="1">
        <w:r w:rsidR="009A347F" w:rsidRPr="003446F7">
          <w:rPr>
            <w:rFonts w:eastAsia="Times New Roman" w:cs="Arial"/>
            <w:color w:val="000000"/>
            <w:sz w:val="24"/>
            <w:szCs w:val="24"/>
          </w:rPr>
          <w:t>building</w:t>
        </w:r>
      </w:hyperlink>
      <w:r w:rsidR="009A347F" w:rsidRPr="003446F7">
        <w:rPr>
          <w:rFonts w:eastAsia="Times New Roman" w:cs="Arial"/>
          <w:color w:val="111111"/>
          <w:sz w:val="24"/>
          <w:szCs w:val="24"/>
        </w:rPr>
        <w:t> covering less than 1,000 square feet of site area shall be exempt from minimum lot area standards.</w:t>
      </w:r>
    </w:p>
    <w:p w:rsidR="009A347F" w:rsidRPr="007F7142" w:rsidRDefault="009A347F" w:rsidP="009A347F">
      <w:pPr>
        <w:numPr>
          <w:ilvl w:val="0"/>
          <w:numId w:val="10"/>
        </w:numPr>
        <w:spacing w:before="60" w:after="60" w:line="250" w:lineRule="atLeast"/>
        <w:ind w:left="240"/>
        <w:jc w:val="both"/>
        <w:rPr>
          <w:rFonts w:eastAsia="Times New Roman" w:cs="Arial"/>
          <w:color w:val="111111"/>
          <w:sz w:val="24"/>
          <w:szCs w:val="24"/>
        </w:rPr>
      </w:pPr>
      <w:r w:rsidRPr="007F7142">
        <w:rPr>
          <w:rFonts w:eastAsia="Times New Roman" w:cs="Arial"/>
          <w:bCs/>
          <w:color w:val="111111"/>
          <w:sz w:val="24"/>
          <w:szCs w:val="24"/>
        </w:rPr>
        <w:t>Absence of </w:t>
      </w:r>
      <w:hyperlink r:id="rId15" w:tgtFrame="_blank" w:history="1">
        <w:r w:rsidRPr="007F7142">
          <w:rPr>
            <w:rFonts w:eastAsia="Times New Roman" w:cs="Arial"/>
            <w:bCs/>
            <w:color w:val="000000"/>
            <w:sz w:val="24"/>
            <w:szCs w:val="24"/>
          </w:rPr>
          <w:t>Sewer</w:t>
        </w:r>
      </w:hyperlink>
      <w:r w:rsidRPr="007F7142">
        <w:rPr>
          <w:rFonts w:eastAsia="Times New Roman" w:cs="Arial"/>
          <w:bCs/>
          <w:color w:val="111111"/>
          <w:sz w:val="24"/>
          <w:szCs w:val="24"/>
        </w:rPr>
        <w:t> or Water</w:t>
      </w:r>
    </w:p>
    <w:p w:rsidR="00086349" w:rsidRPr="003446F7" w:rsidRDefault="009A347F" w:rsidP="009A347F">
      <w:pPr>
        <w:spacing w:before="120" w:after="120" w:line="250" w:lineRule="atLeast"/>
        <w:ind w:left="240"/>
        <w:jc w:val="both"/>
        <w:rPr>
          <w:rFonts w:eastAsia="Times New Roman" w:cs="Arial"/>
          <w:color w:val="111111"/>
          <w:sz w:val="24"/>
          <w:szCs w:val="24"/>
        </w:rPr>
      </w:pPr>
      <w:r w:rsidRPr="003446F7">
        <w:rPr>
          <w:rFonts w:eastAsia="Times New Roman" w:cs="Arial"/>
          <w:color w:val="111111"/>
          <w:sz w:val="24"/>
          <w:szCs w:val="24"/>
        </w:rPr>
        <w:t>In the absence of public water or public sewer, no zoning permit or building permit shall be issued until the lot meets all applicable requirements of this Ordinance and the South Carolina Department of Health and Environmental Control (DHEC).</w:t>
      </w:r>
    </w:p>
    <w:p w:rsidR="00AB1083" w:rsidRPr="007F7142" w:rsidRDefault="00086349" w:rsidP="00AB1083">
      <w:pPr>
        <w:jc w:val="both"/>
        <w:rPr>
          <w:rFonts w:cs="Arial"/>
          <w:i/>
          <w:sz w:val="24"/>
          <w:szCs w:val="24"/>
        </w:rPr>
      </w:pPr>
      <w:r w:rsidRPr="007F7142">
        <w:rPr>
          <w:rFonts w:cs="Arial"/>
          <w:i/>
          <w:sz w:val="24"/>
          <w:szCs w:val="24"/>
        </w:rPr>
        <w:t>4</w:t>
      </w:r>
      <w:r w:rsidR="00E86108">
        <w:rPr>
          <w:rFonts w:cs="Arial"/>
          <w:i/>
          <w:sz w:val="24"/>
          <w:szCs w:val="24"/>
        </w:rPr>
        <w:t>.1.6</w:t>
      </w:r>
      <w:r w:rsidR="00AB1083" w:rsidRPr="007F7142">
        <w:rPr>
          <w:rFonts w:cs="Arial"/>
          <w:i/>
          <w:sz w:val="24"/>
          <w:szCs w:val="24"/>
        </w:rPr>
        <w:t xml:space="preserve"> </w:t>
      </w:r>
      <w:r w:rsidR="00115E60" w:rsidRPr="007F7142">
        <w:rPr>
          <w:rFonts w:cs="Arial"/>
          <w:i/>
          <w:sz w:val="24"/>
          <w:szCs w:val="24"/>
        </w:rPr>
        <w:t xml:space="preserve"> </w:t>
      </w:r>
      <w:r w:rsidRPr="007F7142">
        <w:rPr>
          <w:rFonts w:cs="Arial"/>
          <w:i/>
          <w:sz w:val="24"/>
          <w:szCs w:val="24"/>
        </w:rPr>
        <w:t>Setbacks</w:t>
      </w:r>
    </w:p>
    <w:p w:rsidR="009A347F" w:rsidRPr="003446F7" w:rsidRDefault="00946ABD" w:rsidP="00AB1083">
      <w:pPr>
        <w:jc w:val="both"/>
        <w:rPr>
          <w:rFonts w:cs="Arial"/>
          <w:sz w:val="24"/>
          <w:szCs w:val="24"/>
        </w:rPr>
      </w:pPr>
      <w:r w:rsidRPr="003446F7">
        <w:rPr>
          <w:rFonts w:cs="Arial"/>
          <w:sz w:val="24"/>
          <w:szCs w:val="24"/>
        </w:rPr>
        <w:t xml:space="preserve">Setbacks refer to the unobstructed, unoccupied open area between the furthermost projection of a structure and the property line of the lot on which the structure is located.  </w:t>
      </w:r>
    </w:p>
    <w:p w:rsidR="00086349" w:rsidRPr="007F7142" w:rsidRDefault="00086349" w:rsidP="00AB1083">
      <w:pPr>
        <w:jc w:val="both"/>
        <w:rPr>
          <w:rFonts w:cs="Arial"/>
          <w:i/>
          <w:sz w:val="24"/>
          <w:szCs w:val="24"/>
        </w:rPr>
      </w:pPr>
      <w:r w:rsidRPr="00E86108">
        <w:rPr>
          <w:rFonts w:cs="Arial"/>
          <w:sz w:val="24"/>
          <w:szCs w:val="24"/>
        </w:rPr>
        <w:t>A</w:t>
      </w:r>
      <w:r w:rsidRPr="007F7142">
        <w:rPr>
          <w:rFonts w:cs="Arial"/>
          <w:i/>
          <w:sz w:val="24"/>
          <w:szCs w:val="24"/>
        </w:rPr>
        <w:t>.</w:t>
      </w:r>
      <w:r w:rsidR="00946ABD" w:rsidRPr="007F7142">
        <w:rPr>
          <w:rFonts w:cs="Arial"/>
          <w:i/>
          <w:sz w:val="24"/>
          <w:szCs w:val="24"/>
        </w:rPr>
        <w:t xml:space="preserve">  </w:t>
      </w:r>
      <w:r w:rsidR="00946ABD" w:rsidRPr="007F7142">
        <w:rPr>
          <w:rFonts w:cs="Arial"/>
          <w:sz w:val="24"/>
          <w:szCs w:val="24"/>
        </w:rPr>
        <w:t>Exceptions to Setbacks</w:t>
      </w:r>
      <w:r w:rsidR="00946ABD" w:rsidRPr="007F7142">
        <w:rPr>
          <w:rFonts w:cs="Arial"/>
          <w:i/>
          <w:sz w:val="24"/>
          <w:szCs w:val="24"/>
        </w:rPr>
        <w:tab/>
        <w:t xml:space="preserve">  </w:t>
      </w:r>
    </w:p>
    <w:p w:rsidR="00946ABD" w:rsidRPr="003446F7" w:rsidRDefault="00946ABD" w:rsidP="00946ABD">
      <w:pPr>
        <w:ind w:left="360"/>
        <w:jc w:val="both"/>
        <w:rPr>
          <w:rFonts w:cs="Arial"/>
          <w:sz w:val="24"/>
          <w:szCs w:val="24"/>
        </w:rPr>
      </w:pPr>
      <w:r w:rsidRPr="003446F7">
        <w:rPr>
          <w:rFonts w:cs="Arial"/>
          <w:sz w:val="24"/>
          <w:szCs w:val="24"/>
        </w:rPr>
        <w:t>Every part of a required setback must be open and unobstructed from the ground to the sky except as set out in this subsection.</w:t>
      </w:r>
    </w:p>
    <w:p w:rsidR="00946ABD" w:rsidRPr="003446F7" w:rsidRDefault="00946ABD" w:rsidP="00946ABD">
      <w:pPr>
        <w:pStyle w:val="ListParagraph"/>
        <w:numPr>
          <w:ilvl w:val="1"/>
          <w:numId w:val="10"/>
        </w:numPr>
        <w:jc w:val="both"/>
        <w:rPr>
          <w:rFonts w:cs="Arial"/>
          <w:sz w:val="24"/>
          <w:szCs w:val="24"/>
        </w:rPr>
      </w:pPr>
      <w:r w:rsidRPr="003446F7">
        <w:rPr>
          <w:rFonts w:cs="Arial"/>
          <w:sz w:val="24"/>
          <w:szCs w:val="24"/>
        </w:rPr>
        <w:t xml:space="preserve">Trees, shrubbery or other landscape features may be located within any required setback; however, they shall be selected for site specific conditions.  </w:t>
      </w:r>
    </w:p>
    <w:p w:rsidR="00946ABD" w:rsidRPr="003446F7" w:rsidRDefault="00946ABD" w:rsidP="00946ABD">
      <w:pPr>
        <w:pStyle w:val="ListParagraph"/>
        <w:numPr>
          <w:ilvl w:val="1"/>
          <w:numId w:val="10"/>
        </w:numPr>
        <w:jc w:val="both"/>
        <w:rPr>
          <w:rFonts w:cs="Arial"/>
          <w:sz w:val="24"/>
          <w:szCs w:val="24"/>
        </w:rPr>
      </w:pPr>
      <w:r w:rsidRPr="003446F7">
        <w:rPr>
          <w:rFonts w:cs="Arial"/>
          <w:sz w:val="24"/>
          <w:szCs w:val="24"/>
        </w:rPr>
        <w:t xml:space="preserve">In all zoning districts, fences, hedges, and walls may be located within any required setback, provided that no fence, wall or hedge shall obstruct the view of vehicular access to any roadway between three (3) and </w:t>
      </w:r>
      <w:r w:rsidR="001E48FB">
        <w:rPr>
          <w:rFonts w:cs="Arial"/>
          <w:sz w:val="24"/>
          <w:szCs w:val="24"/>
        </w:rPr>
        <w:t>six</w:t>
      </w:r>
      <w:r w:rsidRPr="003446F7">
        <w:rPr>
          <w:rFonts w:cs="Arial"/>
          <w:sz w:val="24"/>
          <w:szCs w:val="24"/>
        </w:rPr>
        <w:t xml:space="preserve"> (</w:t>
      </w:r>
      <w:r w:rsidR="001E48FB">
        <w:rPr>
          <w:rFonts w:cs="Arial"/>
          <w:sz w:val="24"/>
          <w:szCs w:val="24"/>
        </w:rPr>
        <w:t>6</w:t>
      </w:r>
      <w:r w:rsidRPr="003446F7">
        <w:rPr>
          <w:rFonts w:cs="Arial"/>
          <w:sz w:val="24"/>
          <w:szCs w:val="24"/>
        </w:rPr>
        <w:t xml:space="preserve">) feet in height above grade.  </w:t>
      </w:r>
    </w:p>
    <w:p w:rsidR="00355472" w:rsidRPr="003446F7" w:rsidRDefault="00355472" w:rsidP="00946ABD">
      <w:pPr>
        <w:pStyle w:val="ListParagraph"/>
        <w:numPr>
          <w:ilvl w:val="1"/>
          <w:numId w:val="10"/>
        </w:numPr>
        <w:jc w:val="both"/>
        <w:rPr>
          <w:rFonts w:cs="Arial"/>
          <w:sz w:val="24"/>
          <w:szCs w:val="24"/>
        </w:rPr>
      </w:pPr>
      <w:r w:rsidRPr="003446F7">
        <w:rPr>
          <w:rFonts w:cs="Arial"/>
          <w:sz w:val="24"/>
          <w:szCs w:val="24"/>
        </w:rPr>
        <w:t>Driveways may be located in front and side street setbacks.</w:t>
      </w:r>
    </w:p>
    <w:p w:rsidR="00355472" w:rsidRPr="003446F7" w:rsidRDefault="00355472" w:rsidP="00946ABD">
      <w:pPr>
        <w:pStyle w:val="ListParagraph"/>
        <w:numPr>
          <w:ilvl w:val="1"/>
          <w:numId w:val="10"/>
        </w:numPr>
        <w:jc w:val="both"/>
        <w:rPr>
          <w:rFonts w:cs="Arial"/>
          <w:sz w:val="24"/>
          <w:szCs w:val="24"/>
        </w:rPr>
      </w:pPr>
      <w:r w:rsidRPr="003446F7">
        <w:rPr>
          <w:rFonts w:cs="Arial"/>
          <w:sz w:val="24"/>
          <w:szCs w:val="24"/>
        </w:rPr>
        <w:lastRenderedPageBreak/>
        <w:t>Sidewalks may be located within any required setback.</w:t>
      </w:r>
    </w:p>
    <w:p w:rsidR="00355472" w:rsidRPr="003446F7" w:rsidRDefault="00355472" w:rsidP="00946ABD">
      <w:pPr>
        <w:pStyle w:val="ListParagraph"/>
        <w:numPr>
          <w:ilvl w:val="1"/>
          <w:numId w:val="10"/>
        </w:numPr>
        <w:jc w:val="both"/>
        <w:rPr>
          <w:rFonts w:cs="Arial"/>
          <w:sz w:val="24"/>
          <w:szCs w:val="24"/>
        </w:rPr>
      </w:pPr>
      <w:r w:rsidRPr="003446F7">
        <w:rPr>
          <w:rFonts w:cs="Arial"/>
          <w:sz w:val="24"/>
          <w:szCs w:val="24"/>
        </w:rPr>
        <w:t xml:space="preserve">Utility lines, wires and associated structures, such as power poles, may be located within any required setback.  </w:t>
      </w:r>
    </w:p>
    <w:p w:rsidR="00355472" w:rsidRPr="003446F7" w:rsidRDefault="00355472" w:rsidP="00946ABD">
      <w:pPr>
        <w:pStyle w:val="ListParagraph"/>
        <w:numPr>
          <w:ilvl w:val="1"/>
          <w:numId w:val="10"/>
        </w:numPr>
        <w:jc w:val="both"/>
        <w:rPr>
          <w:rFonts w:cs="Arial"/>
          <w:sz w:val="24"/>
          <w:szCs w:val="24"/>
        </w:rPr>
      </w:pPr>
      <w:r w:rsidRPr="003446F7">
        <w:rPr>
          <w:rFonts w:cs="Arial"/>
          <w:sz w:val="24"/>
          <w:szCs w:val="24"/>
        </w:rPr>
        <w:t xml:space="preserve">Uncovered porches, uncovered steps to building entrances, uncovered patio decks and uncovered balconies may extend up to five (5) feet into any required front, rear or side street setback.  </w:t>
      </w:r>
    </w:p>
    <w:p w:rsidR="00355472" w:rsidRPr="003446F7" w:rsidRDefault="00355472" w:rsidP="00946ABD">
      <w:pPr>
        <w:pStyle w:val="ListParagraph"/>
        <w:numPr>
          <w:ilvl w:val="1"/>
          <w:numId w:val="10"/>
        </w:numPr>
        <w:jc w:val="both"/>
        <w:rPr>
          <w:rFonts w:cs="Arial"/>
          <w:sz w:val="24"/>
          <w:szCs w:val="24"/>
        </w:rPr>
      </w:pPr>
      <w:r w:rsidRPr="003446F7">
        <w:rPr>
          <w:rFonts w:cs="Arial"/>
          <w:sz w:val="24"/>
          <w:szCs w:val="24"/>
        </w:rPr>
        <w:t>Satellite dish antennas may be placed in required rear setbacks.</w:t>
      </w:r>
    </w:p>
    <w:p w:rsidR="00355472" w:rsidRPr="003446F7" w:rsidRDefault="00355472" w:rsidP="00946ABD">
      <w:pPr>
        <w:pStyle w:val="ListParagraph"/>
        <w:numPr>
          <w:ilvl w:val="1"/>
          <w:numId w:val="10"/>
        </w:numPr>
        <w:jc w:val="both"/>
        <w:rPr>
          <w:rFonts w:cs="Arial"/>
          <w:sz w:val="24"/>
          <w:szCs w:val="24"/>
        </w:rPr>
      </w:pPr>
      <w:r w:rsidRPr="003446F7">
        <w:rPr>
          <w:rFonts w:cs="Arial"/>
          <w:sz w:val="24"/>
          <w:szCs w:val="24"/>
        </w:rPr>
        <w:t xml:space="preserve">Mechanical equipment, including Heating Ventilation and Air Conditioning (HVAC) equipment, may be extended up to five (5) feet into required side or rear setbacks in all zoning districts. </w:t>
      </w:r>
    </w:p>
    <w:p w:rsidR="00602627" w:rsidRPr="00E86108" w:rsidRDefault="00E86108" w:rsidP="00602627">
      <w:pPr>
        <w:jc w:val="both"/>
        <w:rPr>
          <w:rFonts w:cs="Arial"/>
          <w:sz w:val="24"/>
          <w:szCs w:val="24"/>
        </w:rPr>
      </w:pPr>
      <w:r w:rsidRPr="00E86108">
        <w:rPr>
          <w:rFonts w:cs="Arial"/>
          <w:sz w:val="24"/>
          <w:szCs w:val="24"/>
        </w:rPr>
        <w:t>B</w:t>
      </w:r>
      <w:r w:rsidR="00602627" w:rsidRPr="00E86108">
        <w:rPr>
          <w:rFonts w:cs="Arial"/>
          <w:i/>
          <w:sz w:val="24"/>
          <w:szCs w:val="24"/>
        </w:rPr>
        <w:t>.</w:t>
      </w:r>
      <w:r w:rsidR="00602627" w:rsidRPr="00E86108">
        <w:rPr>
          <w:rFonts w:cs="Arial"/>
          <w:sz w:val="24"/>
          <w:szCs w:val="24"/>
        </w:rPr>
        <w:t xml:space="preserve"> Front Setbacks on Narrow Streets </w:t>
      </w:r>
    </w:p>
    <w:p w:rsidR="00602627" w:rsidRPr="003446F7" w:rsidRDefault="00602627" w:rsidP="00602627">
      <w:pPr>
        <w:ind w:left="255"/>
        <w:jc w:val="both"/>
        <w:rPr>
          <w:rFonts w:cs="Arial"/>
          <w:sz w:val="24"/>
          <w:szCs w:val="24"/>
        </w:rPr>
      </w:pPr>
      <w:r w:rsidRPr="003446F7">
        <w:rPr>
          <w:rFonts w:cs="Arial"/>
          <w:sz w:val="24"/>
          <w:szCs w:val="24"/>
        </w:rPr>
        <w:t xml:space="preserve">Where a lot abuts a dedicated street (that has been accepted for street maintenance) with a right-of- way width of less than </w:t>
      </w:r>
      <w:r w:rsidR="00BC106C" w:rsidRPr="003446F7">
        <w:rPr>
          <w:rFonts w:cs="Arial"/>
          <w:sz w:val="24"/>
          <w:szCs w:val="24"/>
        </w:rPr>
        <w:t>fifty (</w:t>
      </w:r>
      <w:r w:rsidRPr="003446F7">
        <w:rPr>
          <w:rFonts w:cs="Arial"/>
          <w:sz w:val="24"/>
          <w:szCs w:val="24"/>
        </w:rPr>
        <w:t>50</w:t>
      </w:r>
      <w:r w:rsidR="00BC106C" w:rsidRPr="003446F7">
        <w:rPr>
          <w:rFonts w:cs="Arial"/>
          <w:sz w:val="24"/>
          <w:szCs w:val="24"/>
        </w:rPr>
        <w:t>)</w:t>
      </w:r>
      <w:r w:rsidRPr="003446F7">
        <w:rPr>
          <w:rFonts w:cs="Arial"/>
          <w:sz w:val="24"/>
          <w:szCs w:val="24"/>
        </w:rPr>
        <w:t xml:space="preserve"> feet, the required front setback shall be measured from the centerline of the right-of-way, provided all building code and fire/safety requirements are met. </w:t>
      </w:r>
    </w:p>
    <w:p w:rsidR="00602627" w:rsidRPr="00E86108" w:rsidRDefault="00E86108" w:rsidP="00602627">
      <w:pPr>
        <w:rPr>
          <w:sz w:val="24"/>
          <w:szCs w:val="24"/>
        </w:rPr>
      </w:pPr>
      <w:r w:rsidRPr="00746656">
        <w:rPr>
          <w:rFonts w:cs="Arial"/>
          <w:sz w:val="24"/>
          <w:szCs w:val="24"/>
        </w:rPr>
        <w:t>C</w:t>
      </w:r>
      <w:r w:rsidRPr="00E86108">
        <w:rPr>
          <w:rFonts w:cs="Arial"/>
          <w:i/>
          <w:sz w:val="24"/>
          <w:szCs w:val="24"/>
        </w:rPr>
        <w:t xml:space="preserve">. </w:t>
      </w:r>
      <w:r w:rsidR="00602627" w:rsidRPr="00E86108">
        <w:rPr>
          <w:sz w:val="24"/>
          <w:szCs w:val="24"/>
        </w:rPr>
        <w:t xml:space="preserve"> </w:t>
      </w:r>
      <w:r w:rsidR="00602627" w:rsidRPr="00E86108">
        <w:rPr>
          <w:rFonts w:cs="Arial"/>
          <w:sz w:val="24"/>
          <w:szCs w:val="24"/>
        </w:rPr>
        <w:t>Front Setbacks on Narrow Ingress/Egress Easements</w:t>
      </w:r>
      <w:r w:rsidR="00602627" w:rsidRPr="00E86108">
        <w:rPr>
          <w:sz w:val="24"/>
          <w:szCs w:val="24"/>
        </w:rPr>
        <w:t xml:space="preserve"> </w:t>
      </w:r>
    </w:p>
    <w:p w:rsidR="003879EA" w:rsidRPr="00E86108" w:rsidRDefault="00602627" w:rsidP="00E86108">
      <w:pPr>
        <w:ind w:left="255"/>
        <w:jc w:val="both"/>
        <w:rPr>
          <w:rFonts w:cs="Arial"/>
          <w:sz w:val="24"/>
          <w:szCs w:val="24"/>
        </w:rPr>
      </w:pPr>
      <w:r w:rsidRPr="003446F7">
        <w:rPr>
          <w:rFonts w:cs="Arial"/>
          <w:sz w:val="24"/>
          <w:szCs w:val="24"/>
        </w:rPr>
        <w:t xml:space="preserve">Where a lot abuts an ingress egress easement (that has not been accepted for </w:t>
      </w:r>
      <w:r w:rsidR="00BC106C" w:rsidRPr="003446F7">
        <w:rPr>
          <w:rFonts w:cs="Arial"/>
          <w:sz w:val="24"/>
          <w:szCs w:val="24"/>
        </w:rPr>
        <w:t>street maintenance</w:t>
      </w:r>
      <w:r w:rsidRPr="003446F7">
        <w:rPr>
          <w:rFonts w:cs="Arial"/>
          <w:sz w:val="24"/>
          <w:szCs w:val="24"/>
        </w:rPr>
        <w:t>) with a width of less than</w:t>
      </w:r>
      <w:r w:rsidR="00BC106C" w:rsidRPr="003446F7">
        <w:rPr>
          <w:rFonts w:cs="Arial"/>
          <w:sz w:val="24"/>
          <w:szCs w:val="24"/>
        </w:rPr>
        <w:t xml:space="preserve"> fifty (</w:t>
      </w:r>
      <w:r w:rsidRPr="003446F7">
        <w:rPr>
          <w:rFonts w:cs="Arial"/>
          <w:sz w:val="24"/>
          <w:szCs w:val="24"/>
        </w:rPr>
        <w:t>50</w:t>
      </w:r>
      <w:r w:rsidR="00BC106C" w:rsidRPr="003446F7">
        <w:rPr>
          <w:rFonts w:cs="Arial"/>
          <w:sz w:val="24"/>
          <w:szCs w:val="24"/>
        </w:rPr>
        <w:t>)</w:t>
      </w:r>
      <w:r w:rsidRPr="003446F7">
        <w:rPr>
          <w:rFonts w:cs="Arial"/>
          <w:sz w:val="24"/>
          <w:szCs w:val="24"/>
        </w:rPr>
        <w:t xml:space="preserve"> feet, and is used as a primary access point to the lot as indicated on an approved plat recorded prior to </w:t>
      </w:r>
      <w:r w:rsidR="00E86108">
        <w:rPr>
          <w:rFonts w:cs="Arial"/>
          <w:sz w:val="24"/>
          <w:szCs w:val="24"/>
        </w:rPr>
        <w:t>October 1998</w:t>
      </w:r>
      <w:r w:rsidRPr="003446F7">
        <w:rPr>
          <w:rFonts w:cs="Arial"/>
          <w:sz w:val="24"/>
          <w:szCs w:val="24"/>
        </w:rPr>
        <w:t xml:space="preserve">, the required setback shall be measured from the centerline of the easement, provided all building code and fire/safety requirements are met.  There shall be a minimum </w:t>
      </w:r>
      <w:r w:rsidR="00BC106C" w:rsidRPr="003446F7">
        <w:rPr>
          <w:rFonts w:cs="Arial"/>
          <w:sz w:val="24"/>
          <w:szCs w:val="24"/>
        </w:rPr>
        <w:t>twenty-five (</w:t>
      </w:r>
      <w:r w:rsidRPr="003446F7">
        <w:rPr>
          <w:rFonts w:cs="Arial"/>
          <w:sz w:val="24"/>
          <w:szCs w:val="24"/>
        </w:rPr>
        <w:t>25</w:t>
      </w:r>
      <w:r w:rsidR="00BC106C" w:rsidRPr="003446F7">
        <w:rPr>
          <w:rFonts w:cs="Arial"/>
          <w:sz w:val="24"/>
          <w:szCs w:val="24"/>
        </w:rPr>
        <w:t>)</w:t>
      </w:r>
      <w:r w:rsidRPr="003446F7">
        <w:rPr>
          <w:rFonts w:cs="Arial"/>
          <w:sz w:val="24"/>
          <w:szCs w:val="24"/>
        </w:rPr>
        <w:t xml:space="preserve"> foot setback between the edge of the easement to the front of any structure.  </w:t>
      </w:r>
    </w:p>
    <w:p w:rsidR="00086349" w:rsidRPr="00E86108" w:rsidRDefault="00E86108" w:rsidP="00AB1083">
      <w:pPr>
        <w:jc w:val="both"/>
        <w:rPr>
          <w:rFonts w:cs="Arial"/>
          <w:sz w:val="24"/>
          <w:szCs w:val="24"/>
        </w:rPr>
      </w:pPr>
      <w:r w:rsidRPr="00E86108">
        <w:rPr>
          <w:rFonts w:cs="Arial"/>
          <w:sz w:val="24"/>
          <w:szCs w:val="24"/>
        </w:rPr>
        <w:t>D</w:t>
      </w:r>
      <w:r w:rsidR="00086349" w:rsidRPr="00E86108">
        <w:rPr>
          <w:rFonts w:cs="Arial"/>
          <w:i/>
          <w:sz w:val="24"/>
          <w:szCs w:val="24"/>
        </w:rPr>
        <w:t>.</w:t>
      </w:r>
      <w:r w:rsidR="00602627" w:rsidRPr="00E86108">
        <w:rPr>
          <w:rFonts w:cs="Arial"/>
          <w:i/>
          <w:sz w:val="24"/>
          <w:szCs w:val="24"/>
        </w:rPr>
        <w:t xml:space="preserve"> </w:t>
      </w:r>
      <w:r w:rsidR="00602627" w:rsidRPr="00E86108">
        <w:rPr>
          <w:rFonts w:cs="Arial"/>
          <w:sz w:val="24"/>
          <w:szCs w:val="24"/>
        </w:rPr>
        <w:t>Setbacks on Corner and Double-Frontage Lots</w:t>
      </w:r>
    </w:p>
    <w:p w:rsidR="00602627" w:rsidRPr="003446F7" w:rsidRDefault="00602627" w:rsidP="00DA21CE">
      <w:pPr>
        <w:ind w:left="300"/>
        <w:jc w:val="both"/>
        <w:rPr>
          <w:rFonts w:cs="Arial"/>
          <w:sz w:val="24"/>
          <w:szCs w:val="24"/>
        </w:rPr>
      </w:pPr>
      <w:r w:rsidRPr="003446F7">
        <w:rPr>
          <w:rFonts w:cs="Arial"/>
          <w:sz w:val="24"/>
          <w:szCs w:val="24"/>
        </w:rPr>
        <w:t>On corner and double-frontage lots, front setback standards will apply to each lot line that borders a street. The remaining lot lines will be subject to side setback standards. There is no rear lot line.</w:t>
      </w:r>
    </w:p>
    <w:p w:rsidR="007E667E" w:rsidRDefault="007E667E">
      <w:pPr>
        <w:rPr>
          <w:rFonts w:cs="Arial"/>
          <w:i/>
          <w:sz w:val="24"/>
          <w:szCs w:val="24"/>
        </w:rPr>
      </w:pPr>
      <w:r>
        <w:rPr>
          <w:rFonts w:cs="Arial"/>
          <w:i/>
          <w:sz w:val="24"/>
          <w:szCs w:val="24"/>
        </w:rPr>
        <w:br w:type="page"/>
      </w:r>
    </w:p>
    <w:p w:rsidR="00086349" w:rsidRPr="00F15EF7" w:rsidRDefault="00086349" w:rsidP="00AB1083">
      <w:pPr>
        <w:jc w:val="both"/>
        <w:rPr>
          <w:rFonts w:cs="Arial"/>
          <w:i/>
          <w:sz w:val="24"/>
          <w:szCs w:val="24"/>
        </w:rPr>
      </w:pPr>
      <w:r w:rsidRPr="00F15EF7">
        <w:rPr>
          <w:rFonts w:cs="Arial"/>
          <w:i/>
          <w:sz w:val="24"/>
          <w:szCs w:val="24"/>
        </w:rPr>
        <w:lastRenderedPageBreak/>
        <w:t>4</w:t>
      </w:r>
      <w:r w:rsidR="00F15EF7" w:rsidRPr="00F15EF7">
        <w:rPr>
          <w:rFonts w:cs="Arial"/>
          <w:i/>
          <w:sz w:val="24"/>
          <w:szCs w:val="24"/>
        </w:rPr>
        <w:t>.1.7</w:t>
      </w:r>
      <w:r w:rsidR="00AB1083" w:rsidRPr="00F15EF7">
        <w:rPr>
          <w:rFonts w:cs="Arial"/>
          <w:i/>
          <w:sz w:val="24"/>
          <w:szCs w:val="24"/>
        </w:rPr>
        <w:t xml:space="preserve"> </w:t>
      </w:r>
      <w:r w:rsidR="00115E60" w:rsidRPr="00F15EF7">
        <w:rPr>
          <w:rFonts w:cs="Arial"/>
          <w:i/>
          <w:sz w:val="24"/>
          <w:szCs w:val="24"/>
        </w:rPr>
        <w:t xml:space="preserve"> </w:t>
      </w:r>
      <w:r w:rsidRPr="00F15EF7">
        <w:rPr>
          <w:rFonts w:cs="Arial"/>
          <w:i/>
          <w:sz w:val="24"/>
          <w:szCs w:val="24"/>
        </w:rPr>
        <w:t>Building Height</w:t>
      </w:r>
      <w:r w:rsidR="00115E60" w:rsidRPr="00F15EF7">
        <w:rPr>
          <w:rFonts w:cs="Arial"/>
          <w:i/>
          <w:sz w:val="24"/>
          <w:szCs w:val="24"/>
        </w:rPr>
        <w:t xml:space="preserve"> </w:t>
      </w:r>
    </w:p>
    <w:p w:rsidR="00C72696" w:rsidRPr="003446F7" w:rsidRDefault="007974F6" w:rsidP="00AB1083">
      <w:pPr>
        <w:jc w:val="both"/>
        <w:rPr>
          <w:rFonts w:cs="Arial"/>
          <w:sz w:val="24"/>
          <w:szCs w:val="24"/>
        </w:rPr>
      </w:pPr>
      <w:r w:rsidRPr="003446F7">
        <w:rPr>
          <w:rFonts w:cs="Arial"/>
          <w:sz w:val="24"/>
          <w:szCs w:val="24"/>
        </w:rPr>
        <w:t xml:space="preserve">Building height </w:t>
      </w:r>
      <w:r w:rsidR="00C72696" w:rsidRPr="003446F7">
        <w:rPr>
          <w:rFonts w:cs="Arial"/>
          <w:sz w:val="24"/>
          <w:szCs w:val="24"/>
        </w:rPr>
        <w:t xml:space="preserve">refers to the vertical distance to the highest point of the roof for flat roofs; to the deck line of mansard roofs; and to the average height between eaves and the ridge for gable, hip, and gambrel roofs. </w:t>
      </w:r>
    </w:p>
    <w:p w:rsidR="00BC106C" w:rsidRPr="003446F7" w:rsidRDefault="005021F4" w:rsidP="00AB1083">
      <w:pPr>
        <w:jc w:val="both"/>
        <w:rPr>
          <w:rFonts w:cs="Arial"/>
          <w:sz w:val="24"/>
          <w:szCs w:val="24"/>
        </w:rPr>
      </w:pPr>
      <w:r>
        <w:rPr>
          <w:rFonts w:cs="Arial"/>
          <w:sz w:val="24"/>
          <w:szCs w:val="24"/>
        </w:rPr>
        <w:t>Figure 4-1, Building Heights</w:t>
      </w:r>
    </w:p>
    <w:p w:rsidR="005021F4" w:rsidRDefault="005021F4" w:rsidP="00C72696">
      <w:pPr>
        <w:jc w:val="both"/>
        <w:rPr>
          <w:rFonts w:cs="Arial"/>
          <w:sz w:val="24"/>
          <w:szCs w:val="24"/>
        </w:rPr>
      </w:pPr>
      <w:r w:rsidRPr="003446F7">
        <w:rPr>
          <w:rFonts w:cs="Arial"/>
          <w:noProof/>
          <w:sz w:val="24"/>
          <w:szCs w:val="24"/>
        </w:rPr>
        <w:drawing>
          <wp:anchor distT="0" distB="0" distL="114300" distR="114300" simplePos="0" relativeHeight="251662336" behindDoc="0" locked="0" layoutInCell="1" allowOverlap="1">
            <wp:simplePos x="0" y="0"/>
            <wp:positionH relativeFrom="column">
              <wp:posOffset>243205</wp:posOffset>
            </wp:positionH>
            <wp:positionV relativeFrom="paragraph">
              <wp:posOffset>47625</wp:posOffset>
            </wp:positionV>
            <wp:extent cx="4120515" cy="12223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20515" cy="12223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021F4" w:rsidRDefault="005021F4" w:rsidP="00C72696">
      <w:pPr>
        <w:jc w:val="both"/>
        <w:rPr>
          <w:rFonts w:cs="Arial"/>
          <w:sz w:val="24"/>
          <w:szCs w:val="24"/>
        </w:rPr>
      </w:pPr>
    </w:p>
    <w:p w:rsidR="007E667E" w:rsidRDefault="007E667E" w:rsidP="007E667E">
      <w:pPr>
        <w:rPr>
          <w:rFonts w:cs="Arial"/>
          <w:sz w:val="24"/>
          <w:szCs w:val="24"/>
        </w:rPr>
      </w:pPr>
    </w:p>
    <w:p w:rsidR="007E667E" w:rsidRDefault="007E667E" w:rsidP="007E667E">
      <w:pPr>
        <w:rPr>
          <w:rFonts w:cs="Arial"/>
          <w:sz w:val="24"/>
          <w:szCs w:val="24"/>
        </w:rPr>
      </w:pPr>
    </w:p>
    <w:p w:rsidR="007E667E" w:rsidRDefault="007E667E" w:rsidP="007E667E">
      <w:pPr>
        <w:rPr>
          <w:rFonts w:cs="Arial"/>
          <w:sz w:val="24"/>
          <w:szCs w:val="24"/>
        </w:rPr>
      </w:pPr>
    </w:p>
    <w:p w:rsidR="00086349" w:rsidRPr="00F15EF7" w:rsidRDefault="00C72696" w:rsidP="007E667E">
      <w:pPr>
        <w:rPr>
          <w:rFonts w:cs="Arial"/>
          <w:sz w:val="24"/>
          <w:szCs w:val="24"/>
        </w:rPr>
      </w:pPr>
      <w:r w:rsidRPr="00F15EF7">
        <w:rPr>
          <w:rFonts w:cs="Arial"/>
          <w:sz w:val="24"/>
          <w:szCs w:val="24"/>
        </w:rPr>
        <w:t>A</w:t>
      </w:r>
      <w:r w:rsidRPr="00F15EF7">
        <w:rPr>
          <w:rFonts w:cs="Arial"/>
          <w:i/>
          <w:sz w:val="24"/>
          <w:szCs w:val="24"/>
        </w:rPr>
        <w:t>.</w:t>
      </w:r>
      <w:r w:rsidRPr="00F15EF7">
        <w:rPr>
          <w:rFonts w:cs="Arial"/>
          <w:sz w:val="24"/>
          <w:szCs w:val="24"/>
        </w:rPr>
        <w:t xml:space="preserve"> Fences or Walls</w:t>
      </w:r>
    </w:p>
    <w:p w:rsidR="00C72696" w:rsidRPr="003446F7" w:rsidRDefault="00092104" w:rsidP="005021F4">
      <w:pPr>
        <w:jc w:val="both"/>
        <w:rPr>
          <w:rFonts w:cs="Arial"/>
          <w:sz w:val="24"/>
          <w:szCs w:val="24"/>
        </w:rPr>
      </w:pPr>
      <w:r w:rsidRPr="003446F7">
        <w:rPr>
          <w:rFonts w:cs="Arial"/>
          <w:sz w:val="24"/>
          <w:szCs w:val="24"/>
        </w:rPr>
        <w:t>In the case of fences or walls, height shall be measured from ground level on the higher side of the fence or wall.</w:t>
      </w:r>
    </w:p>
    <w:p w:rsidR="00086349" w:rsidRPr="00F15EF7" w:rsidRDefault="00086349" w:rsidP="00AB1083">
      <w:pPr>
        <w:jc w:val="both"/>
        <w:rPr>
          <w:rFonts w:cs="Arial"/>
          <w:sz w:val="24"/>
          <w:szCs w:val="24"/>
        </w:rPr>
      </w:pPr>
      <w:r w:rsidRPr="00F15EF7">
        <w:rPr>
          <w:rFonts w:cs="Arial"/>
          <w:sz w:val="24"/>
          <w:szCs w:val="24"/>
        </w:rPr>
        <w:t>B</w:t>
      </w:r>
      <w:r w:rsidRPr="00F15EF7">
        <w:rPr>
          <w:rFonts w:cs="Arial"/>
          <w:i/>
          <w:sz w:val="24"/>
          <w:szCs w:val="24"/>
        </w:rPr>
        <w:t>.</w:t>
      </w:r>
      <w:r w:rsidR="00BC106C" w:rsidRPr="00F15EF7">
        <w:rPr>
          <w:rFonts w:cs="Arial"/>
          <w:i/>
          <w:sz w:val="24"/>
          <w:szCs w:val="24"/>
        </w:rPr>
        <w:t xml:space="preserve"> </w:t>
      </w:r>
      <w:r w:rsidR="00BC106C" w:rsidRPr="00F15EF7">
        <w:rPr>
          <w:rFonts w:cs="Arial"/>
          <w:sz w:val="24"/>
          <w:szCs w:val="24"/>
        </w:rPr>
        <w:t>Exceptions to Height Limits</w:t>
      </w:r>
    </w:p>
    <w:p w:rsidR="00BC106C" w:rsidRPr="003446F7" w:rsidRDefault="00BC106C" w:rsidP="005021F4">
      <w:pPr>
        <w:jc w:val="both"/>
        <w:rPr>
          <w:rFonts w:cs="Arial"/>
          <w:sz w:val="24"/>
          <w:szCs w:val="24"/>
        </w:rPr>
      </w:pPr>
      <w:r w:rsidRPr="003446F7">
        <w:rPr>
          <w:rFonts w:cs="Arial"/>
          <w:sz w:val="24"/>
          <w:szCs w:val="24"/>
        </w:rPr>
        <w:t>Unless otherwise expressly stated, the height limitations of this Ordinance shall not apply to any of the following:</w:t>
      </w:r>
    </w:p>
    <w:p w:rsidR="00BC106C" w:rsidRPr="005021F4" w:rsidRDefault="00BC106C" w:rsidP="005021F4">
      <w:pPr>
        <w:pStyle w:val="ListParagraph"/>
        <w:numPr>
          <w:ilvl w:val="0"/>
          <w:numId w:val="15"/>
        </w:numPr>
        <w:jc w:val="both"/>
        <w:rPr>
          <w:rFonts w:cs="Arial"/>
          <w:sz w:val="24"/>
          <w:szCs w:val="24"/>
        </w:rPr>
      </w:pPr>
      <w:r w:rsidRPr="005021F4">
        <w:rPr>
          <w:rFonts w:cs="Arial"/>
          <w:sz w:val="24"/>
          <w:szCs w:val="24"/>
        </w:rPr>
        <w:t>Electrical power transmission lines;</w:t>
      </w:r>
    </w:p>
    <w:p w:rsidR="00BC106C" w:rsidRPr="005021F4" w:rsidRDefault="00BC106C" w:rsidP="005021F4">
      <w:pPr>
        <w:pStyle w:val="ListParagraph"/>
        <w:numPr>
          <w:ilvl w:val="0"/>
          <w:numId w:val="15"/>
        </w:numPr>
        <w:jc w:val="both"/>
        <w:rPr>
          <w:rFonts w:cs="Arial"/>
          <w:sz w:val="24"/>
          <w:szCs w:val="24"/>
        </w:rPr>
      </w:pPr>
      <w:r w:rsidRPr="005021F4">
        <w:rPr>
          <w:rFonts w:cs="Arial"/>
          <w:sz w:val="24"/>
          <w:szCs w:val="24"/>
        </w:rPr>
        <w:t>Belfries, cupolas, spires, domes, monuments, flagpoles, chimneys, radio/television receiving antennas or chimney flues; or</w:t>
      </w:r>
    </w:p>
    <w:p w:rsidR="00086349" w:rsidRPr="005021F4" w:rsidRDefault="00BC106C" w:rsidP="005021F4">
      <w:pPr>
        <w:pStyle w:val="ListParagraph"/>
        <w:numPr>
          <w:ilvl w:val="0"/>
          <w:numId w:val="15"/>
        </w:numPr>
        <w:jc w:val="both"/>
        <w:rPr>
          <w:rFonts w:cs="Arial"/>
          <w:sz w:val="24"/>
          <w:szCs w:val="24"/>
        </w:rPr>
      </w:pPr>
      <w:r w:rsidRPr="005021F4">
        <w:rPr>
          <w:rFonts w:cs="Arial"/>
          <w:sz w:val="24"/>
          <w:szCs w:val="24"/>
        </w:rPr>
        <w:t xml:space="preserve">Bulkhead, elevator, water tank, or any other similar structure or necessary mechanical appurtenance extending above the roof of any building, if such structure does not occupy more than </w:t>
      </w:r>
      <w:r w:rsidR="00D7593F" w:rsidRPr="005021F4">
        <w:rPr>
          <w:rFonts w:cs="Arial"/>
          <w:sz w:val="24"/>
          <w:szCs w:val="24"/>
        </w:rPr>
        <w:t>30</w:t>
      </w:r>
      <w:r w:rsidRPr="005021F4">
        <w:rPr>
          <w:rFonts w:cs="Arial"/>
          <w:sz w:val="24"/>
          <w:szCs w:val="24"/>
        </w:rPr>
        <w:t xml:space="preserve"> percent of the area of the roof.</w:t>
      </w:r>
    </w:p>
    <w:p w:rsidR="00AB1083" w:rsidRPr="00F15EF7" w:rsidRDefault="00086349" w:rsidP="00AB1083">
      <w:pPr>
        <w:jc w:val="both"/>
        <w:rPr>
          <w:rFonts w:cs="Arial"/>
          <w:i/>
          <w:sz w:val="24"/>
          <w:szCs w:val="24"/>
        </w:rPr>
      </w:pPr>
      <w:r w:rsidRPr="00F15EF7">
        <w:rPr>
          <w:rFonts w:cs="Arial"/>
          <w:i/>
          <w:sz w:val="24"/>
          <w:szCs w:val="24"/>
        </w:rPr>
        <w:t>4</w:t>
      </w:r>
      <w:r w:rsidR="00F15EF7" w:rsidRPr="00F15EF7">
        <w:rPr>
          <w:rFonts w:cs="Arial"/>
          <w:i/>
          <w:sz w:val="24"/>
          <w:szCs w:val="24"/>
        </w:rPr>
        <w:t>.1.8</w:t>
      </w:r>
      <w:r w:rsidR="00AB1083" w:rsidRPr="00F15EF7">
        <w:rPr>
          <w:rFonts w:cs="Arial"/>
          <w:i/>
          <w:sz w:val="24"/>
          <w:szCs w:val="24"/>
        </w:rPr>
        <w:t xml:space="preserve"> </w:t>
      </w:r>
      <w:r w:rsidR="00115E60" w:rsidRPr="00F15EF7">
        <w:rPr>
          <w:rFonts w:cs="Arial"/>
          <w:i/>
          <w:sz w:val="24"/>
          <w:szCs w:val="24"/>
        </w:rPr>
        <w:t xml:space="preserve"> </w:t>
      </w:r>
      <w:r w:rsidRPr="00F15EF7">
        <w:rPr>
          <w:rFonts w:cs="Arial"/>
          <w:i/>
          <w:sz w:val="24"/>
          <w:szCs w:val="24"/>
        </w:rPr>
        <w:t>Building Coverage</w:t>
      </w:r>
    </w:p>
    <w:p w:rsidR="00995CEB" w:rsidRPr="003446F7" w:rsidRDefault="00D7593F" w:rsidP="00911533">
      <w:pPr>
        <w:spacing w:after="240"/>
        <w:jc w:val="both"/>
        <w:rPr>
          <w:rFonts w:cs="Arial"/>
          <w:sz w:val="24"/>
          <w:szCs w:val="24"/>
        </w:rPr>
      </w:pPr>
      <w:r w:rsidRPr="003446F7">
        <w:rPr>
          <w:rFonts w:cs="Arial"/>
          <w:sz w:val="24"/>
          <w:szCs w:val="24"/>
        </w:rPr>
        <w:t>Building coverage refers to the area of a lot covered by buildings (principal and accessory) or roofed areas, as measured along the outside wall at ground level, and including all projections, other than fire escapes, canopies and the first two</w:t>
      </w:r>
      <w:r w:rsidR="00F15EF7">
        <w:rPr>
          <w:rFonts w:cs="Arial"/>
          <w:sz w:val="24"/>
          <w:szCs w:val="24"/>
        </w:rPr>
        <w:t xml:space="preserve"> (2)</w:t>
      </w:r>
      <w:r w:rsidRPr="003446F7">
        <w:rPr>
          <w:rFonts w:cs="Arial"/>
          <w:sz w:val="24"/>
          <w:szCs w:val="24"/>
        </w:rPr>
        <w:t xml:space="preserve"> feet of a roof overhang. Swimming pools (excluding the pool decking) shall be included in building coverage.</w:t>
      </w:r>
    </w:p>
    <w:p w:rsidR="007E667E" w:rsidRDefault="007E667E">
      <w:pPr>
        <w:rPr>
          <w:rFonts w:cs="Arial"/>
          <w:b/>
          <w:sz w:val="24"/>
          <w:szCs w:val="24"/>
        </w:rPr>
      </w:pPr>
      <w:r>
        <w:rPr>
          <w:rFonts w:cs="Arial"/>
          <w:b/>
          <w:sz w:val="24"/>
          <w:szCs w:val="24"/>
        </w:rPr>
        <w:br w:type="page"/>
      </w:r>
    </w:p>
    <w:p w:rsidR="001651DE" w:rsidRPr="003446F7" w:rsidRDefault="004370E9" w:rsidP="001651DE">
      <w:pPr>
        <w:rPr>
          <w:rFonts w:cs="Arial"/>
          <w:b/>
          <w:sz w:val="24"/>
          <w:szCs w:val="24"/>
        </w:rPr>
      </w:pPr>
      <w:r w:rsidRPr="00F15EF7">
        <w:rPr>
          <w:rFonts w:cs="Arial"/>
          <w:b/>
          <w:sz w:val="24"/>
          <w:szCs w:val="24"/>
        </w:rPr>
        <w:lastRenderedPageBreak/>
        <w:t>Section</w:t>
      </w:r>
      <w:r w:rsidR="00086349" w:rsidRPr="00F15EF7">
        <w:rPr>
          <w:rFonts w:cs="Arial"/>
          <w:b/>
          <w:sz w:val="24"/>
          <w:szCs w:val="24"/>
        </w:rPr>
        <w:t xml:space="preserve"> 4</w:t>
      </w:r>
      <w:r w:rsidR="00F15EF7" w:rsidRPr="00F15EF7">
        <w:rPr>
          <w:rFonts w:cs="Arial"/>
          <w:b/>
          <w:sz w:val="24"/>
          <w:szCs w:val="24"/>
        </w:rPr>
        <w:t>.2</w:t>
      </w:r>
      <w:r w:rsidR="00FE7393" w:rsidRPr="00F15EF7">
        <w:rPr>
          <w:rFonts w:cs="Arial"/>
          <w:b/>
          <w:sz w:val="24"/>
          <w:szCs w:val="24"/>
        </w:rPr>
        <w:tab/>
      </w:r>
      <w:r w:rsidRPr="00F15EF7">
        <w:rPr>
          <w:rFonts w:cs="Arial"/>
          <w:b/>
          <w:sz w:val="24"/>
          <w:szCs w:val="24"/>
        </w:rPr>
        <w:t>Purpose of Districts</w:t>
      </w:r>
      <w:r w:rsidR="00086349" w:rsidRPr="00F15EF7">
        <w:rPr>
          <w:rFonts w:cs="Arial"/>
          <w:b/>
          <w:sz w:val="24"/>
          <w:szCs w:val="24"/>
        </w:rPr>
        <w:t xml:space="preserve"> </w:t>
      </w:r>
    </w:p>
    <w:p w:rsidR="00100C73" w:rsidRDefault="008C6748" w:rsidP="008C6748">
      <w:pPr>
        <w:jc w:val="both"/>
        <w:rPr>
          <w:rFonts w:cs="Arial"/>
          <w:sz w:val="24"/>
          <w:szCs w:val="24"/>
        </w:rPr>
      </w:pPr>
      <w:r>
        <w:rPr>
          <w:rFonts w:cs="Arial"/>
          <w:sz w:val="24"/>
          <w:szCs w:val="24"/>
        </w:rPr>
        <w:t xml:space="preserve">The zoning districts established in this Ordinance are for the purposes of guiding development in accordance with existing and future needs and promoting the public health, safety, morals, convenience, order, appearance, prosperity, and general welfare, and all of the purposes set forth in S.C. Code § 6-29-710.  The following statements of intent shall be used in interpretation and application of the district regulations.  </w:t>
      </w:r>
    </w:p>
    <w:p w:rsidR="00100C73" w:rsidRDefault="008C6748" w:rsidP="007907BC">
      <w:pPr>
        <w:jc w:val="both"/>
        <w:rPr>
          <w:rFonts w:cs="Arial"/>
          <w:sz w:val="24"/>
          <w:szCs w:val="24"/>
        </w:rPr>
      </w:pPr>
      <w:r>
        <w:rPr>
          <w:rFonts w:cs="Arial"/>
          <w:sz w:val="24"/>
          <w:szCs w:val="24"/>
        </w:rPr>
        <w:t>The resid</w:t>
      </w:r>
      <w:r w:rsidR="007907BC">
        <w:rPr>
          <w:rFonts w:cs="Arial"/>
          <w:sz w:val="24"/>
          <w:szCs w:val="24"/>
        </w:rPr>
        <w:t xml:space="preserve">ential district regulations are designed to encourage a stable and healthy environment for residential purposes and to discourage encroachment by commercial, industrial or other uses adversely affecting the residential character of the district. </w:t>
      </w:r>
    </w:p>
    <w:p w:rsidR="007907BC" w:rsidRDefault="007907BC" w:rsidP="007907BC">
      <w:pPr>
        <w:jc w:val="both"/>
        <w:rPr>
          <w:rFonts w:cs="Arial"/>
          <w:sz w:val="24"/>
          <w:szCs w:val="24"/>
        </w:rPr>
      </w:pPr>
      <w:r>
        <w:rPr>
          <w:rFonts w:cs="Arial"/>
          <w:b/>
          <w:sz w:val="24"/>
          <w:szCs w:val="24"/>
        </w:rPr>
        <w:t>R-1, Low-Density Residential District.</w:t>
      </w:r>
      <w:r>
        <w:rPr>
          <w:rFonts w:cs="Arial"/>
          <w:b/>
          <w:sz w:val="24"/>
          <w:szCs w:val="24"/>
        </w:rPr>
        <w:tab/>
      </w:r>
      <w:r>
        <w:rPr>
          <w:rFonts w:cs="Arial"/>
          <w:sz w:val="24"/>
          <w:szCs w:val="24"/>
        </w:rPr>
        <w:t xml:space="preserve">The R-1 District is intended to be single-family residential areas with detached units and low densities, large lots.  Use regulations allow for limited recreational uses which are compatible with the character of the district. </w:t>
      </w:r>
    </w:p>
    <w:p w:rsidR="007907BC" w:rsidRDefault="007907BC" w:rsidP="007907BC">
      <w:pPr>
        <w:jc w:val="both"/>
        <w:rPr>
          <w:rFonts w:cs="Arial"/>
          <w:sz w:val="24"/>
          <w:szCs w:val="24"/>
        </w:rPr>
      </w:pPr>
      <w:r>
        <w:rPr>
          <w:rFonts w:cs="Arial"/>
          <w:b/>
          <w:sz w:val="24"/>
          <w:szCs w:val="24"/>
        </w:rPr>
        <w:t>R-2, Medium-Density Residential District.</w:t>
      </w:r>
      <w:r>
        <w:rPr>
          <w:rFonts w:cs="Arial"/>
          <w:b/>
          <w:sz w:val="24"/>
          <w:szCs w:val="24"/>
        </w:rPr>
        <w:tab/>
      </w:r>
      <w:r>
        <w:rPr>
          <w:rFonts w:cs="Arial"/>
          <w:sz w:val="24"/>
          <w:szCs w:val="24"/>
        </w:rPr>
        <w:t xml:space="preserve">The R-2 District is intended to accommodate a </w:t>
      </w:r>
      <w:r w:rsidR="00B2387F">
        <w:rPr>
          <w:rFonts w:cs="Arial"/>
          <w:sz w:val="24"/>
          <w:szCs w:val="24"/>
        </w:rPr>
        <w:t xml:space="preserve">variety of mid-range density dwelling units on small parcels. The R-2 District allows for multi-family dwellings in a compatible residential setting with single-family dwellings.  </w:t>
      </w:r>
    </w:p>
    <w:p w:rsidR="00B2387F" w:rsidRDefault="00442F53" w:rsidP="007907BC">
      <w:pPr>
        <w:jc w:val="both"/>
        <w:rPr>
          <w:rFonts w:cs="Arial"/>
          <w:sz w:val="24"/>
          <w:szCs w:val="24"/>
        </w:rPr>
      </w:pPr>
      <w:r>
        <w:rPr>
          <w:rFonts w:cs="Arial"/>
          <w:b/>
          <w:sz w:val="24"/>
          <w:szCs w:val="24"/>
        </w:rPr>
        <w:t>R-3, High-Density Residential District.</w:t>
      </w:r>
      <w:r>
        <w:rPr>
          <w:rFonts w:cs="Arial"/>
          <w:b/>
          <w:sz w:val="24"/>
          <w:szCs w:val="24"/>
        </w:rPr>
        <w:tab/>
      </w:r>
      <w:r>
        <w:rPr>
          <w:rFonts w:cs="Arial"/>
          <w:sz w:val="24"/>
          <w:szCs w:val="24"/>
        </w:rPr>
        <w:t xml:space="preserve">The intent of the R-3 District is to accommodate higher density </w:t>
      </w:r>
    </w:p>
    <w:p w:rsidR="00196DF8" w:rsidRDefault="00196DF8" w:rsidP="007907BC">
      <w:pPr>
        <w:jc w:val="both"/>
        <w:rPr>
          <w:rFonts w:cs="Arial"/>
          <w:sz w:val="24"/>
          <w:szCs w:val="24"/>
        </w:rPr>
      </w:pPr>
      <w:r>
        <w:rPr>
          <w:rFonts w:cs="Arial"/>
          <w:b/>
          <w:sz w:val="24"/>
          <w:szCs w:val="24"/>
        </w:rPr>
        <w:t>C-1, Core Commercial District.</w:t>
      </w:r>
      <w:r>
        <w:rPr>
          <w:rFonts w:cs="Arial"/>
          <w:b/>
          <w:sz w:val="24"/>
          <w:szCs w:val="24"/>
        </w:rPr>
        <w:tab/>
      </w:r>
      <w:r>
        <w:rPr>
          <w:rFonts w:cs="Arial"/>
          <w:sz w:val="24"/>
          <w:szCs w:val="24"/>
        </w:rPr>
        <w:t xml:space="preserve">The intent of the C-1 District is to promote the concentration and vitality of commercial and business uses characterized primarily by retail, wholesale, office and service establishments in the central business area of Holly Hill. Residential uses are permitted on upper levels of commercial structures. </w:t>
      </w:r>
    </w:p>
    <w:p w:rsidR="00196DF8" w:rsidRDefault="00196DF8" w:rsidP="007907BC">
      <w:pPr>
        <w:jc w:val="both"/>
        <w:rPr>
          <w:rFonts w:cs="Arial"/>
          <w:sz w:val="24"/>
          <w:szCs w:val="24"/>
        </w:rPr>
      </w:pPr>
      <w:r>
        <w:rPr>
          <w:rFonts w:cs="Arial"/>
          <w:b/>
          <w:sz w:val="24"/>
          <w:szCs w:val="24"/>
        </w:rPr>
        <w:t>C-2, General Commercial District.</w:t>
      </w:r>
      <w:r>
        <w:rPr>
          <w:rFonts w:cs="Arial"/>
          <w:b/>
          <w:sz w:val="24"/>
          <w:szCs w:val="24"/>
        </w:rPr>
        <w:tab/>
      </w:r>
      <w:r>
        <w:rPr>
          <w:rFonts w:cs="Arial"/>
          <w:sz w:val="24"/>
          <w:szCs w:val="24"/>
        </w:rPr>
        <w:t xml:space="preserve">The C-2 District provides for the development and maintenance of commercial and business uses strategically located to serve the community and the larger region of which it is a part.   A wide range of business and commercial uses are permitted herein. </w:t>
      </w:r>
    </w:p>
    <w:p w:rsidR="00196DF8" w:rsidRDefault="00196DF8" w:rsidP="007907BC">
      <w:pPr>
        <w:jc w:val="both"/>
        <w:rPr>
          <w:rFonts w:cs="Arial"/>
          <w:sz w:val="24"/>
          <w:szCs w:val="24"/>
        </w:rPr>
      </w:pPr>
      <w:r>
        <w:rPr>
          <w:rFonts w:cs="Arial"/>
          <w:b/>
          <w:sz w:val="24"/>
          <w:szCs w:val="24"/>
        </w:rPr>
        <w:t>C-3, Limited Commercial District.</w:t>
      </w:r>
      <w:r>
        <w:rPr>
          <w:rFonts w:cs="Arial"/>
          <w:b/>
          <w:sz w:val="24"/>
          <w:szCs w:val="24"/>
        </w:rPr>
        <w:tab/>
      </w:r>
      <w:r w:rsidR="0087750C">
        <w:rPr>
          <w:rFonts w:cs="Arial"/>
          <w:sz w:val="24"/>
          <w:szCs w:val="24"/>
        </w:rPr>
        <w:t xml:space="preserve">The C-3 District allows for a mix of uses that accommodate office, institutional, light commercial, and residential uses in areas of transition, or suitable for such development.  The locations of the C-3 District should be in proximity to residential areas and/or on the periphery of such areas, moderating transition between residential and commercial areas.  </w:t>
      </w:r>
    </w:p>
    <w:p w:rsidR="0087750C" w:rsidRPr="0087750C" w:rsidRDefault="0087750C" w:rsidP="007907BC">
      <w:pPr>
        <w:jc w:val="both"/>
        <w:rPr>
          <w:rFonts w:cs="Arial"/>
          <w:b/>
          <w:sz w:val="24"/>
          <w:szCs w:val="24"/>
        </w:rPr>
      </w:pPr>
      <w:r>
        <w:rPr>
          <w:rFonts w:cs="Arial"/>
          <w:b/>
          <w:sz w:val="24"/>
          <w:szCs w:val="24"/>
        </w:rPr>
        <w:t>LI, Light Industrial District.</w:t>
      </w:r>
      <w:r>
        <w:rPr>
          <w:rFonts w:cs="Arial"/>
          <w:b/>
          <w:sz w:val="24"/>
          <w:szCs w:val="24"/>
        </w:rPr>
        <w:tab/>
      </w:r>
      <w:r>
        <w:rPr>
          <w:rFonts w:cs="Arial"/>
          <w:sz w:val="24"/>
          <w:szCs w:val="24"/>
        </w:rPr>
        <w:t xml:space="preserve">The intent of the LI District is to accommodate wholesaling, distribution, storage, processing and light manufacturing uses in an environment suited to such uses and operations while promoting land use compatibility within the community.  </w:t>
      </w:r>
      <w:r>
        <w:rPr>
          <w:rFonts w:cs="Arial"/>
          <w:b/>
          <w:sz w:val="24"/>
          <w:szCs w:val="24"/>
        </w:rPr>
        <w:tab/>
      </w:r>
    </w:p>
    <w:p w:rsidR="007E667E" w:rsidRDefault="007E667E">
      <w:pPr>
        <w:rPr>
          <w:rFonts w:cs="Arial"/>
          <w:b/>
          <w:sz w:val="24"/>
          <w:szCs w:val="24"/>
        </w:rPr>
      </w:pPr>
      <w:r>
        <w:rPr>
          <w:rFonts w:cs="Arial"/>
          <w:b/>
          <w:sz w:val="24"/>
          <w:szCs w:val="24"/>
        </w:rPr>
        <w:br w:type="page"/>
      </w:r>
    </w:p>
    <w:p w:rsidR="00EE2375" w:rsidRPr="004370E9" w:rsidRDefault="004370E9" w:rsidP="001651DE">
      <w:pPr>
        <w:rPr>
          <w:rFonts w:cs="Arial"/>
          <w:b/>
          <w:sz w:val="24"/>
          <w:szCs w:val="24"/>
        </w:rPr>
      </w:pPr>
      <w:r w:rsidRPr="004370E9">
        <w:rPr>
          <w:rFonts w:cs="Arial"/>
          <w:b/>
          <w:sz w:val="24"/>
          <w:szCs w:val="24"/>
        </w:rPr>
        <w:lastRenderedPageBreak/>
        <w:t xml:space="preserve">Section </w:t>
      </w:r>
      <w:r w:rsidR="00C320C6" w:rsidRPr="004370E9">
        <w:rPr>
          <w:rFonts w:cs="Arial"/>
          <w:b/>
          <w:sz w:val="24"/>
          <w:szCs w:val="24"/>
        </w:rPr>
        <w:t xml:space="preserve"> 4</w:t>
      </w:r>
      <w:r w:rsidR="001651DE" w:rsidRPr="004370E9">
        <w:rPr>
          <w:rFonts w:cs="Arial"/>
          <w:b/>
          <w:sz w:val="24"/>
          <w:szCs w:val="24"/>
        </w:rPr>
        <w:t>.</w:t>
      </w:r>
      <w:r w:rsidR="00F22DCA">
        <w:rPr>
          <w:rFonts w:cs="Arial"/>
          <w:b/>
          <w:sz w:val="24"/>
          <w:szCs w:val="24"/>
        </w:rPr>
        <w:t>3</w:t>
      </w:r>
      <w:r w:rsidR="00FE7393" w:rsidRPr="004370E9">
        <w:rPr>
          <w:rFonts w:cs="Arial"/>
          <w:b/>
          <w:sz w:val="24"/>
          <w:szCs w:val="24"/>
        </w:rPr>
        <w:tab/>
      </w:r>
      <w:r w:rsidRPr="004370E9">
        <w:rPr>
          <w:rFonts w:cs="Arial"/>
          <w:b/>
          <w:sz w:val="24"/>
          <w:szCs w:val="24"/>
        </w:rPr>
        <w:t>Establishment of Official Zoning Map</w:t>
      </w:r>
    </w:p>
    <w:p w:rsidR="0087750C" w:rsidRDefault="0087750C" w:rsidP="008775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Calibri" w:eastAsia="Times New Roman" w:hAnsi="Calibri" w:cs="Arial"/>
          <w:sz w:val="24"/>
          <w:szCs w:val="24"/>
        </w:rPr>
      </w:pPr>
      <w:r w:rsidRPr="0087750C">
        <w:rPr>
          <w:rFonts w:ascii="Calibri" w:eastAsia="Times New Roman" w:hAnsi="Calibri" w:cs="Arial"/>
          <w:sz w:val="24"/>
          <w:szCs w:val="24"/>
        </w:rPr>
        <w:t xml:space="preserve">The boundaries of the zoning districts established by this ordinance shall be as shown on the Town of </w:t>
      </w:r>
      <w:r>
        <w:rPr>
          <w:rFonts w:ascii="Calibri" w:eastAsia="Times New Roman" w:hAnsi="Calibri" w:cs="Arial"/>
          <w:sz w:val="24"/>
          <w:szCs w:val="24"/>
        </w:rPr>
        <w:t>Holly Hill</w:t>
      </w:r>
      <w:r w:rsidRPr="0087750C">
        <w:rPr>
          <w:rFonts w:ascii="Calibri" w:eastAsia="Times New Roman" w:hAnsi="Calibri" w:cs="Arial"/>
          <w:sz w:val="24"/>
          <w:szCs w:val="24"/>
        </w:rPr>
        <w:t xml:space="preserve"> Official Zoning Map.</w:t>
      </w:r>
    </w:p>
    <w:p w:rsidR="0087750C" w:rsidRDefault="0087750C" w:rsidP="0087750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spacing w:after="0" w:line="240" w:lineRule="auto"/>
        <w:jc w:val="both"/>
        <w:rPr>
          <w:rFonts w:ascii="Calibri" w:eastAsia="Times New Roman" w:hAnsi="Calibri" w:cs="Arial"/>
          <w:sz w:val="24"/>
          <w:szCs w:val="24"/>
        </w:rPr>
      </w:pPr>
    </w:p>
    <w:p w:rsidR="003879EA" w:rsidRPr="0087750C" w:rsidRDefault="0087750C" w:rsidP="008775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sz w:val="24"/>
          <w:szCs w:val="24"/>
        </w:rPr>
      </w:pPr>
      <w:r w:rsidRPr="003B5D70">
        <w:rPr>
          <w:rFonts w:ascii="Calibri" w:hAnsi="Calibri" w:cs="Arial"/>
          <w:sz w:val="24"/>
          <w:szCs w:val="24"/>
        </w:rPr>
        <w:t xml:space="preserve">The official copy of the Town of </w:t>
      </w:r>
      <w:r>
        <w:rPr>
          <w:rFonts w:ascii="Calibri" w:hAnsi="Calibri" w:cs="Arial"/>
          <w:sz w:val="24"/>
          <w:szCs w:val="24"/>
        </w:rPr>
        <w:t>Holly Hill</w:t>
      </w:r>
      <w:r w:rsidRPr="003B5D70">
        <w:rPr>
          <w:rFonts w:ascii="Calibri" w:hAnsi="Calibri" w:cs="Arial"/>
          <w:sz w:val="24"/>
          <w:szCs w:val="24"/>
        </w:rPr>
        <w:t xml:space="preserve"> Zoning Map shall be maintained in the office of the Town Zoning Administrator.  All zoning district boundaries shall be clearly shown on the Official Zoning Map, and amendments shall be recorded immediately after adoption.  The official copies of the Zoning Map shall be dated and attested by the signatures of the Mayor, Council and Town Zoning Administrator, and shall be available for public inspection.  The Official Zoning Map and any amendments adopted by Town Council shall constitute the final authority for determination of zoning district boundaries.  Such changes made in district boundaries or other matters portrayed on the Official Zoning Map shall be entered and dated by the Town Zoning Administrator within fifteen (15) working days after the amendment has been approved by Town Council. It shall be unlawful for any other person to make unauthorized changes to the Official Zoning Map.  Any amendment to the Official Zoning Map shall become effective immediately upon action by the Town Council.  </w:t>
      </w:r>
    </w:p>
    <w:p w:rsidR="000D6114" w:rsidRDefault="000D6114">
      <w:pPr>
        <w:rPr>
          <w:rFonts w:cs="Arial"/>
          <w:b/>
          <w:sz w:val="24"/>
          <w:szCs w:val="24"/>
        </w:rPr>
      </w:pPr>
    </w:p>
    <w:p w:rsidR="005331B5" w:rsidRDefault="004370E9" w:rsidP="005331B5">
      <w:pPr>
        <w:rPr>
          <w:rFonts w:cs="Arial"/>
          <w:b/>
          <w:sz w:val="24"/>
          <w:szCs w:val="24"/>
        </w:rPr>
      </w:pPr>
      <w:r w:rsidRPr="004370E9">
        <w:rPr>
          <w:rFonts w:cs="Arial"/>
          <w:b/>
          <w:sz w:val="24"/>
          <w:szCs w:val="24"/>
        </w:rPr>
        <w:t xml:space="preserve">Section </w:t>
      </w:r>
      <w:r w:rsidR="00F22DCA">
        <w:rPr>
          <w:rFonts w:cs="Arial"/>
          <w:b/>
          <w:sz w:val="24"/>
          <w:szCs w:val="24"/>
        </w:rPr>
        <w:t>4.4</w:t>
      </w:r>
      <w:r w:rsidR="005331B5" w:rsidRPr="004370E9">
        <w:rPr>
          <w:rFonts w:cs="Arial"/>
          <w:b/>
          <w:sz w:val="24"/>
          <w:szCs w:val="24"/>
        </w:rPr>
        <w:tab/>
      </w:r>
      <w:r w:rsidRPr="004370E9">
        <w:rPr>
          <w:rFonts w:cs="Arial"/>
          <w:b/>
          <w:sz w:val="24"/>
          <w:szCs w:val="24"/>
        </w:rPr>
        <w:t>Interpretation of District Boundaries</w:t>
      </w:r>
    </w:p>
    <w:p w:rsidR="004370E9" w:rsidRPr="003446F7" w:rsidRDefault="004370E9" w:rsidP="004370E9">
      <w:pPr>
        <w:jc w:val="both"/>
        <w:rPr>
          <w:rFonts w:cs="Arial"/>
          <w:sz w:val="24"/>
          <w:szCs w:val="24"/>
          <w:highlight w:val="lightGray"/>
        </w:rPr>
      </w:pPr>
      <w:r w:rsidRPr="003446F7">
        <w:rPr>
          <w:rFonts w:cs="Arial"/>
          <w:sz w:val="24"/>
          <w:szCs w:val="24"/>
        </w:rPr>
        <w:t>The Zoning Administrator</w:t>
      </w:r>
      <w:r>
        <w:rPr>
          <w:rFonts w:cs="Arial"/>
          <w:sz w:val="24"/>
          <w:szCs w:val="24"/>
        </w:rPr>
        <w:t xml:space="preserve"> shall interpret the Zoning Map</w:t>
      </w:r>
      <w:r w:rsidRPr="003446F7">
        <w:rPr>
          <w:rFonts w:cs="Arial"/>
          <w:sz w:val="24"/>
          <w:szCs w:val="24"/>
        </w:rPr>
        <w:t xml:space="preserve"> and determine the location of zoning district boundaries, using the following rules of interpretation:</w:t>
      </w:r>
    </w:p>
    <w:p w:rsidR="004370E9" w:rsidRPr="005021F4" w:rsidRDefault="004370E9" w:rsidP="000D6114">
      <w:pPr>
        <w:pStyle w:val="ListParagraph"/>
        <w:numPr>
          <w:ilvl w:val="0"/>
          <w:numId w:val="17"/>
        </w:numPr>
        <w:spacing w:line="276" w:lineRule="auto"/>
        <w:jc w:val="both"/>
        <w:rPr>
          <w:rFonts w:cs="Arial"/>
          <w:sz w:val="24"/>
          <w:szCs w:val="24"/>
        </w:rPr>
      </w:pPr>
      <w:r w:rsidRPr="005021F4">
        <w:rPr>
          <w:rFonts w:cs="Arial"/>
          <w:sz w:val="24"/>
          <w:szCs w:val="24"/>
        </w:rPr>
        <w:t>District boundaries indicated as approximately following the center lines of streets, alleys, railroads, or bodies of water shall be construed to follow those center lines.</w:t>
      </w:r>
    </w:p>
    <w:p w:rsidR="004370E9" w:rsidRPr="005021F4" w:rsidRDefault="004370E9" w:rsidP="000D6114">
      <w:pPr>
        <w:pStyle w:val="ListParagraph"/>
        <w:numPr>
          <w:ilvl w:val="0"/>
          <w:numId w:val="17"/>
        </w:numPr>
        <w:spacing w:line="276" w:lineRule="auto"/>
        <w:jc w:val="both"/>
        <w:rPr>
          <w:rFonts w:cs="Arial"/>
          <w:sz w:val="24"/>
          <w:szCs w:val="24"/>
        </w:rPr>
      </w:pPr>
      <w:r w:rsidRPr="005021F4">
        <w:rPr>
          <w:rFonts w:cs="Arial"/>
          <w:sz w:val="24"/>
          <w:szCs w:val="24"/>
        </w:rPr>
        <w:t>District boundaries indicated as approximately following platted lot lines or tax map lot lines shall be construed as following those lot lines.</w:t>
      </w:r>
    </w:p>
    <w:p w:rsidR="009005D9" w:rsidRDefault="004370E9" w:rsidP="009005D9">
      <w:pPr>
        <w:pStyle w:val="ListParagraph"/>
        <w:numPr>
          <w:ilvl w:val="0"/>
          <w:numId w:val="17"/>
        </w:numPr>
        <w:spacing w:line="276" w:lineRule="auto"/>
        <w:jc w:val="both"/>
        <w:rPr>
          <w:rFonts w:cs="Arial"/>
          <w:sz w:val="24"/>
          <w:szCs w:val="24"/>
        </w:rPr>
      </w:pPr>
      <w:r w:rsidRPr="005021F4">
        <w:rPr>
          <w:rFonts w:cs="Arial"/>
          <w:sz w:val="24"/>
          <w:szCs w:val="24"/>
        </w:rPr>
        <w:t>District boundaries indicated as approximately following municipal limits shall be construed as following municipal limits.</w:t>
      </w:r>
    </w:p>
    <w:p w:rsidR="00201D7B" w:rsidRPr="009005D9" w:rsidRDefault="004370E9" w:rsidP="009005D9">
      <w:pPr>
        <w:pStyle w:val="ListParagraph"/>
        <w:numPr>
          <w:ilvl w:val="0"/>
          <w:numId w:val="17"/>
        </w:numPr>
        <w:spacing w:line="276" w:lineRule="auto"/>
        <w:jc w:val="both"/>
        <w:rPr>
          <w:rFonts w:cs="Arial"/>
          <w:sz w:val="24"/>
          <w:szCs w:val="24"/>
        </w:rPr>
      </w:pPr>
      <w:bookmarkStart w:id="0" w:name="_GoBack"/>
      <w:bookmarkEnd w:id="0"/>
      <w:r w:rsidRPr="009005D9">
        <w:rPr>
          <w:rFonts w:cs="Arial"/>
          <w:sz w:val="24"/>
          <w:szCs w:val="24"/>
        </w:rPr>
        <w:t>District boundaries indicated as approximately parallel to or extensions of features indicated in subsections above shall be so construed for the distances indicated on the Zoning Map. Distances not specifically indicated shall be determined by scale of the map.</w:t>
      </w:r>
    </w:p>
    <w:p w:rsidR="007E667E" w:rsidRDefault="007E667E" w:rsidP="00FE7393">
      <w:pPr>
        <w:rPr>
          <w:rFonts w:cs="Arial"/>
          <w:b/>
          <w:sz w:val="24"/>
          <w:szCs w:val="24"/>
        </w:rPr>
      </w:pPr>
    </w:p>
    <w:p w:rsidR="00C320C6" w:rsidRPr="00A27612" w:rsidRDefault="004370E9" w:rsidP="00FE7393">
      <w:pPr>
        <w:rPr>
          <w:rFonts w:cs="Arial"/>
          <w:b/>
          <w:sz w:val="24"/>
          <w:szCs w:val="24"/>
        </w:rPr>
      </w:pPr>
      <w:r w:rsidRPr="00A27612">
        <w:rPr>
          <w:rFonts w:cs="Arial"/>
          <w:b/>
          <w:sz w:val="24"/>
          <w:szCs w:val="24"/>
        </w:rPr>
        <w:t xml:space="preserve">Section </w:t>
      </w:r>
      <w:r w:rsidR="00C320C6" w:rsidRPr="00A27612">
        <w:rPr>
          <w:rFonts w:cs="Arial"/>
          <w:b/>
          <w:sz w:val="24"/>
          <w:szCs w:val="24"/>
        </w:rPr>
        <w:t xml:space="preserve"> 4</w:t>
      </w:r>
      <w:r w:rsidR="00FE7393" w:rsidRPr="00A27612">
        <w:rPr>
          <w:rFonts w:cs="Arial"/>
          <w:b/>
          <w:sz w:val="24"/>
          <w:szCs w:val="24"/>
        </w:rPr>
        <w:t>.</w:t>
      </w:r>
      <w:r w:rsidR="00F22DCA" w:rsidRPr="00A27612">
        <w:rPr>
          <w:rFonts w:cs="Arial"/>
          <w:b/>
          <w:sz w:val="24"/>
          <w:szCs w:val="24"/>
        </w:rPr>
        <w:t>5</w:t>
      </w:r>
      <w:r w:rsidR="00FE7393" w:rsidRPr="00A27612">
        <w:rPr>
          <w:rFonts w:cs="Arial"/>
          <w:b/>
          <w:sz w:val="24"/>
          <w:szCs w:val="24"/>
        </w:rPr>
        <w:tab/>
      </w:r>
      <w:r w:rsidRPr="00A27612">
        <w:rPr>
          <w:rFonts w:cs="Arial"/>
          <w:b/>
          <w:sz w:val="24"/>
          <w:szCs w:val="24"/>
        </w:rPr>
        <w:t>Lot Divided by District Boundaries</w:t>
      </w:r>
    </w:p>
    <w:p w:rsidR="00A27612" w:rsidRPr="00A27612" w:rsidRDefault="00A27612" w:rsidP="00A27612">
      <w:pPr>
        <w:pStyle w:val="BodyTextIndent"/>
        <w:spacing w:after="240"/>
        <w:ind w:left="0"/>
        <w:rPr>
          <w:rFonts w:ascii="Calibri" w:hAnsi="Calibri" w:cs="Arial"/>
          <w:sz w:val="24"/>
          <w:szCs w:val="24"/>
        </w:rPr>
      </w:pPr>
      <w:r w:rsidRPr="00A27612">
        <w:rPr>
          <w:rFonts w:ascii="Calibri" w:hAnsi="Calibri" w:cs="Arial"/>
          <w:sz w:val="24"/>
          <w:szCs w:val="24"/>
        </w:rPr>
        <w:t>No structure or accessory use may be placed, structurally altered, or have a change in use where the structure or use is or would be included within two (2) or more zoning districts unless such structure or use conforms to the requirements of all applicable district regulations.</w:t>
      </w:r>
    </w:p>
    <w:p w:rsidR="007E667E" w:rsidRDefault="007E667E">
      <w:pPr>
        <w:rPr>
          <w:rFonts w:cs="Arial"/>
          <w:b/>
          <w:sz w:val="24"/>
          <w:szCs w:val="24"/>
        </w:rPr>
      </w:pPr>
      <w:r>
        <w:rPr>
          <w:rFonts w:cs="Arial"/>
          <w:b/>
          <w:sz w:val="24"/>
          <w:szCs w:val="24"/>
        </w:rPr>
        <w:br w:type="page"/>
      </w:r>
    </w:p>
    <w:p w:rsidR="00FE7393" w:rsidRPr="00A27612" w:rsidRDefault="004370E9" w:rsidP="00FE7393">
      <w:pPr>
        <w:rPr>
          <w:rFonts w:cs="Arial"/>
          <w:b/>
          <w:sz w:val="24"/>
          <w:szCs w:val="24"/>
        </w:rPr>
      </w:pPr>
      <w:r w:rsidRPr="00A27612">
        <w:rPr>
          <w:rFonts w:cs="Arial"/>
          <w:b/>
          <w:sz w:val="24"/>
          <w:szCs w:val="24"/>
        </w:rPr>
        <w:lastRenderedPageBreak/>
        <w:t xml:space="preserve">Section  </w:t>
      </w:r>
      <w:r w:rsidR="00C320C6" w:rsidRPr="00A27612">
        <w:rPr>
          <w:rFonts w:cs="Arial"/>
          <w:b/>
          <w:sz w:val="24"/>
          <w:szCs w:val="24"/>
        </w:rPr>
        <w:t>4</w:t>
      </w:r>
      <w:r w:rsidR="00FE7393" w:rsidRPr="00A27612">
        <w:rPr>
          <w:rFonts w:cs="Arial"/>
          <w:b/>
          <w:sz w:val="24"/>
          <w:szCs w:val="24"/>
        </w:rPr>
        <w:t>.</w:t>
      </w:r>
      <w:r w:rsidR="00F22DCA" w:rsidRPr="00A27612">
        <w:rPr>
          <w:rFonts w:cs="Arial"/>
          <w:b/>
          <w:sz w:val="24"/>
          <w:szCs w:val="24"/>
        </w:rPr>
        <w:t>6</w:t>
      </w:r>
      <w:r w:rsidR="00FE7393" w:rsidRPr="00A27612">
        <w:rPr>
          <w:rFonts w:cs="Arial"/>
          <w:b/>
          <w:sz w:val="24"/>
          <w:szCs w:val="24"/>
        </w:rPr>
        <w:tab/>
      </w:r>
      <w:r w:rsidRPr="00A27612">
        <w:rPr>
          <w:rFonts w:cs="Arial"/>
          <w:b/>
          <w:sz w:val="24"/>
          <w:szCs w:val="24"/>
        </w:rPr>
        <w:t>Annexation</w:t>
      </w:r>
      <w:r w:rsidR="00C320C6" w:rsidRPr="00A27612">
        <w:rPr>
          <w:rFonts w:cs="Arial"/>
          <w:b/>
          <w:sz w:val="24"/>
          <w:szCs w:val="24"/>
        </w:rPr>
        <w:t xml:space="preserve"> </w:t>
      </w:r>
    </w:p>
    <w:p w:rsidR="00A27612" w:rsidRPr="005A2EFF" w:rsidRDefault="00A27612" w:rsidP="00A276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Calibri" w:hAnsi="Calibri" w:cs="Arial"/>
          <w:sz w:val="24"/>
          <w:szCs w:val="24"/>
        </w:rPr>
      </w:pPr>
      <w:r>
        <w:rPr>
          <w:rFonts w:ascii="Calibri" w:hAnsi="Calibri" w:cs="Arial"/>
          <w:sz w:val="24"/>
          <w:szCs w:val="24"/>
        </w:rPr>
        <w:t>T</w:t>
      </w:r>
      <w:r w:rsidRPr="005A2EFF">
        <w:rPr>
          <w:rFonts w:ascii="Calibri" w:hAnsi="Calibri" w:cs="Arial"/>
          <w:sz w:val="24"/>
          <w:szCs w:val="24"/>
        </w:rPr>
        <w:t>he zoning district shall be designated for property a</w:t>
      </w:r>
      <w:r>
        <w:rPr>
          <w:rFonts w:ascii="Calibri" w:hAnsi="Calibri" w:cs="Arial"/>
          <w:sz w:val="24"/>
          <w:szCs w:val="24"/>
        </w:rPr>
        <w:t>nnexed by ordinance as follows:</w:t>
      </w:r>
    </w:p>
    <w:p w:rsidR="00A27612" w:rsidRPr="005021F4" w:rsidRDefault="00A27612" w:rsidP="000D6114">
      <w:pPr>
        <w:pStyle w:val="ListParagraph"/>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hAnsi="Calibri" w:cs="Arial"/>
          <w:sz w:val="24"/>
          <w:szCs w:val="24"/>
        </w:rPr>
      </w:pPr>
      <w:r w:rsidRPr="005021F4">
        <w:rPr>
          <w:rFonts w:ascii="Calibri" w:hAnsi="Calibri" w:cs="Arial"/>
          <w:sz w:val="24"/>
          <w:szCs w:val="24"/>
        </w:rPr>
        <w:t>Town Council, after receiving a recommendation from the Planning Commission, shall specify an interim zoning district classification or classifications in the annexation ordinance.  Such classification or classifications shall become effective on the effective date of annexation and permits for permitted uses may be issued.</w:t>
      </w:r>
    </w:p>
    <w:p w:rsidR="00A27612" w:rsidRPr="005021F4" w:rsidRDefault="00A27612" w:rsidP="000D6114">
      <w:pPr>
        <w:pStyle w:val="ListParagraph"/>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hAnsi="Calibri" w:cs="Arial"/>
          <w:sz w:val="24"/>
          <w:szCs w:val="24"/>
        </w:rPr>
      </w:pPr>
      <w:r w:rsidRPr="005021F4">
        <w:rPr>
          <w:rFonts w:ascii="Calibri" w:hAnsi="Calibri" w:cs="Arial"/>
          <w:sz w:val="24"/>
          <w:szCs w:val="24"/>
        </w:rPr>
        <w:t>If the zoning district classification recommended by the Planning Commission for the annexed area is different in character and standards from the existing county zoning district of the area, the Planning Commission report shall contain the reasons for the recommendation, and Town Council shall hold a public hearing on the proposed annexation and the proposed interim zoning of the property to be annexed.</w:t>
      </w:r>
    </w:p>
    <w:p w:rsidR="00A27612" w:rsidRPr="005021F4" w:rsidRDefault="00A27612" w:rsidP="000D6114">
      <w:pPr>
        <w:pStyle w:val="ListParagraph"/>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Calibri" w:hAnsi="Calibri" w:cs="Arial"/>
          <w:sz w:val="24"/>
          <w:szCs w:val="24"/>
        </w:rPr>
      </w:pPr>
      <w:r w:rsidRPr="005021F4">
        <w:rPr>
          <w:rFonts w:ascii="Calibri" w:hAnsi="Calibri" w:cs="Arial"/>
          <w:sz w:val="24"/>
          <w:szCs w:val="24"/>
        </w:rPr>
        <w:t>Notice of the public hearing shall be published in the same manner as required for rezoning.</w:t>
      </w:r>
    </w:p>
    <w:p w:rsidR="00E626E7" w:rsidRPr="00753744" w:rsidRDefault="00A27612" w:rsidP="007739FC">
      <w:pPr>
        <w:pStyle w:val="ListParagraph"/>
        <w:numPr>
          <w:ilvl w:val="0"/>
          <w:numId w:val="2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Arial"/>
          <w:sz w:val="24"/>
          <w:szCs w:val="24"/>
        </w:rPr>
      </w:pPr>
      <w:r w:rsidRPr="00753744">
        <w:rPr>
          <w:rFonts w:ascii="Calibri" w:hAnsi="Calibri" w:cs="Arial"/>
          <w:sz w:val="24"/>
          <w:szCs w:val="24"/>
        </w:rPr>
        <w:t>Immediately after the effective date of the annexation, the Zoning Administrator shall initiate zoning amendment procedures to confirm or establish the appropriate zoning classifications for the annexed area.</w:t>
      </w:r>
    </w:p>
    <w:sectPr w:rsidR="00E626E7" w:rsidRPr="00753744" w:rsidSect="001651D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6F7" w:rsidRDefault="003446F7" w:rsidP="001651DE">
      <w:pPr>
        <w:spacing w:after="0" w:line="240" w:lineRule="auto"/>
      </w:pPr>
      <w:r>
        <w:separator/>
      </w:r>
    </w:p>
  </w:endnote>
  <w:endnote w:type="continuationSeparator" w:id="0">
    <w:p w:rsidR="003446F7" w:rsidRDefault="003446F7" w:rsidP="00165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685576"/>
      <w:docPartObj>
        <w:docPartGallery w:val="Page Numbers (Bottom of Page)"/>
        <w:docPartUnique/>
      </w:docPartObj>
    </w:sdtPr>
    <w:sdtEndPr>
      <w:rPr>
        <w:noProof/>
      </w:rPr>
    </w:sdtEndPr>
    <w:sdtContent>
      <w:p w:rsidR="007E667E" w:rsidRPr="003446F7" w:rsidRDefault="007E667E" w:rsidP="007E667E">
        <w:pPr>
          <w:pStyle w:val="Footer"/>
        </w:pPr>
        <w:r w:rsidRPr="003446F7">
          <w:rPr>
            <w:rFonts w:cs="Arial"/>
          </w:rPr>
          <w:t>Town of Holly Hill Zoning Ordinance</w:t>
        </w:r>
        <w:r w:rsidR="001D7ABB">
          <w:rPr>
            <w:rFonts w:cs="Arial"/>
          </w:rPr>
          <w:t xml:space="preserve"> 2019</w:t>
        </w:r>
        <w:r w:rsidRPr="003446F7">
          <w:rPr>
            <w:rFonts w:cs="Arial"/>
          </w:rPr>
          <w:tab/>
        </w:r>
        <w:r w:rsidRPr="003446F7">
          <w:rPr>
            <w:rFonts w:cs="Arial"/>
          </w:rPr>
          <w:tab/>
          <w:t>4-</w:t>
        </w:r>
        <w:r w:rsidRPr="003446F7">
          <w:rPr>
            <w:rFonts w:cs="Arial"/>
          </w:rPr>
          <w:fldChar w:fldCharType="begin"/>
        </w:r>
        <w:r w:rsidRPr="003446F7">
          <w:rPr>
            <w:rFonts w:cs="Arial"/>
          </w:rPr>
          <w:instrText xml:space="preserve"> PAGE   \* MERGEFORMAT </w:instrText>
        </w:r>
        <w:r w:rsidRPr="003446F7">
          <w:rPr>
            <w:rFonts w:cs="Arial"/>
          </w:rPr>
          <w:fldChar w:fldCharType="separate"/>
        </w:r>
        <w:r w:rsidR="009005D9">
          <w:rPr>
            <w:rFonts w:cs="Arial"/>
            <w:noProof/>
          </w:rPr>
          <w:t>7</w:t>
        </w:r>
        <w:r w:rsidRPr="003446F7">
          <w:rPr>
            <w:rFonts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6F7" w:rsidRDefault="003446F7" w:rsidP="001651DE">
      <w:pPr>
        <w:spacing w:after="0" w:line="240" w:lineRule="auto"/>
      </w:pPr>
      <w:r>
        <w:separator/>
      </w:r>
    </w:p>
  </w:footnote>
  <w:footnote w:type="continuationSeparator" w:id="0">
    <w:p w:rsidR="003446F7" w:rsidRDefault="003446F7" w:rsidP="001651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4"/>
    <w:multiLevelType w:val="multilevel"/>
    <w:tmpl w:val="00000887"/>
    <w:lvl w:ilvl="0">
      <w:start w:val="8"/>
      <w:numFmt w:val="upperLetter"/>
      <w:lvlText w:val="(%1)"/>
      <w:lvlJc w:val="left"/>
      <w:pPr>
        <w:ind w:hanging="504"/>
      </w:pPr>
      <w:rPr>
        <w:rFonts w:ascii="Arial" w:hAnsi="Arial" w:cs="Arial"/>
        <w:b w:val="0"/>
        <w:bCs w:val="0"/>
        <w:spacing w:val="-1"/>
        <w:w w:val="99"/>
        <w:sz w:val="19"/>
        <w:szCs w:val="19"/>
      </w:rPr>
    </w:lvl>
    <w:lvl w:ilvl="1">
      <w:start w:val="1"/>
      <w:numFmt w:val="decimal"/>
      <w:lvlText w:val="(%2)"/>
      <w:lvlJc w:val="left"/>
      <w:pPr>
        <w:ind w:hanging="720"/>
      </w:pPr>
      <w:rPr>
        <w:rFonts w:ascii="Arial" w:hAnsi="Arial" w:cs="Arial"/>
        <w:b w:val="0"/>
        <w:bCs w:val="0"/>
        <w:sz w:val="28"/>
        <w:szCs w:val="28"/>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5"/>
    <w:multiLevelType w:val="multilevel"/>
    <w:tmpl w:val="CC127194"/>
    <w:lvl w:ilvl="0">
      <w:start w:val="1"/>
      <w:numFmt w:val="decimal"/>
      <w:lvlText w:val="%1."/>
      <w:lvlJc w:val="left"/>
      <w:pPr>
        <w:ind w:hanging="720"/>
      </w:pPr>
      <w:rPr>
        <w:rFonts w:ascii="Arial" w:hAnsi="Arial" w:cs="Arial"/>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31"/>
    <w:multiLevelType w:val="multilevel"/>
    <w:tmpl w:val="0AF0F25E"/>
    <w:lvl w:ilvl="0">
      <w:start w:val="1"/>
      <w:numFmt w:val="decimal"/>
      <w:lvlText w:val="%1."/>
      <w:lvlJc w:val="left"/>
      <w:pPr>
        <w:ind w:hanging="315"/>
      </w:pPr>
      <w:rPr>
        <w:rFonts w:ascii="Arial" w:hAnsi="Arial" w:cs="Arial"/>
        <w:b/>
        <w:bCs/>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5AD79FE"/>
    <w:multiLevelType w:val="hybridMultilevel"/>
    <w:tmpl w:val="B0842E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D688E"/>
    <w:multiLevelType w:val="hybridMultilevel"/>
    <w:tmpl w:val="191220FE"/>
    <w:lvl w:ilvl="0" w:tplc="0F544D0C">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559EE"/>
    <w:multiLevelType w:val="hybridMultilevel"/>
    <w:tmpl w:val="5420A438"/>
    <w:lvl w:ilvl="0" w:tplc="647C42A0">
      <w:start w:val="1"/>
      <w:numFmt w:val="upperLetter"/>
      <w:lvlText w:val="%1."/>
      <w:lvlJc w:val="left"/>
      <w:pPr>
        <w:ind w:left="720" w:hanging="72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97C3BCD"/>
    <w:multiLevelType w:val="hybridMultilevel"/>
    <w:tmpl w:val="4ED6BB8C"/>
    <w:lvl w:ilvl="0" w:tplc="AB681F12">
      <w:start w:val="1"/>
      <w:numFmt w:val="lowerLetter"/>
      <w:lvlText w:val="%1."/>
      <w:lvlJc w:val="left"/>
      <w:pPr>
        <w:ind w:left="132" w:hanging="360"/>
      </w:pPr>
      <w:rPr>
        <w:rFonts w:hint="default"/>
      </w:rPr>
    </w:lvl>
    <w:lvl w:ilvl="1" w:tplc="04090019" w:tentative="1">
      <w:start w:val="1"/>
      <w:numFmt w:val="lowerLetter"/>
      <w:lvlText w:val="%2."/>
      <w:lvlJc w:val="left"/>
      <w:pPr>
        <w:ind w:left="852" w:hanging="360"/>
      </w:pPr>
    </w:lvl>
    <w:lvl w:ilvl="2" w:tplc="0409001B" w:tentative="1">
      <w:start w:val="1"/>
      <w:numFmt w:val="lowerRoman"/>
      <w:lvlText w:val="%3."/>
      <w:lvlJc w:val="right"/>
      <w:pPr>
        <w:ind w:left="1572" w:hanging="180"/>
      </w:pPr>
    </w:lvl>
    <w:lvl w:ilvl="3" w:tplc="0409000F" w:tentative="1">
      <w:start w:val="1"/>
      <w:numFmt w:val="decimal"/>
      <w:lvlText w:val="%4."/>
      <w:lvlJc w:val="left"/>
      <w:pPr>
        <w:ind w:left="2292" w:hanging="360"/>
      </w:pPr>
    </w:lvl>
    <w:lvl w:ilvl="4" w:tplc="04090019" w:tentative="1">
      <w:start w:val="1"/>
      <w:numFmt w:val="lowerLetter"/>
      <w:lvlText w:val="%5."/>
      <w:lvlJc w:val="left"/>
      <w:pPr>
        <w:ind w:left="3012" w:hanging="360"/>
      </w:pPr>
    </w:lvl>
    <w:lvl w:ilvl="5" w:tplc="0409001B" w:tentative="1">
      <w:start w:val="1"/>
      <w:numFmt w:val="lowerRoman"/>
      <w:lvlText w:val="%6."/>
      <w:lvlJc w:val="right"/>
      <w:pPr>
        <w:ind w:left="3732" w:hanging="180"/>
      </w:pPr>
    </w:lvl>
    <w:lvl w:ilvl="6" w:tplc="0409000F" w:tentative="1">
      <w:start w:val="1"/>
      <w:numFmt w:val="decimal"/>
      <w:lvlText w:val="%7."/>
      <w:lvlJc w:val="left"/>
      <w:pPr>
        <w:ind w:left="4452" w:hanging="360"/>
      </w:pPr>
    </w:lvl>
    <w:lvl w:ilvl="7" w:tplc="04090019" w:tentative="1">
      <w:start w:val="1"/>
      <w:numFmt w:val="lowerLetter"/>
      <w:lvlText w:val="%8."/>
      <w:lvlJc w:val="left"/>
      <w:pPr>
        <w:ind w:left="5172" w:hanging="360"/>
      </w:pPr>
    </w:lvl>
    <w:lvl w:ilvl="8" w:tplc="0409001B" w:tentative="1">
      <w:start w:val="1"/>
      <w:numFmt w:val="lowerRoman"/>
      <w:lvlText w:val="%9."/>
      <w:lvlJc w:val="right"/>
      <w:pPr>
        <w:ind w:left="5892" w:hanging="180"/>
      </w:pPr>
    </w:lvl>
  </w:abstractNum>
  <w:abstractNum w:abstractNumId="7" w15:restartNumberingAfterBreak="0">
    <w:nsid w:val="2E1B7C67"/>
    <w:multiLevelType w:val="hybridMultilevel"/>
    <w:tmpl w:val="5240F5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F448AF"/>
    <w:multiLevelType w:val="hybridMultilevel"/>
    <w:tmpl w:val="68E49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185A50"/>
    <w:multiLevelType w:val="multilevel"/>
    <w:tmpl w:val="9C6C887E"/>
    <w:lvl w:ilvl="0">
      <w:start w:val="1"/>
      <w:numFmt w:val="upperLetter"/>
      <w:lvlText w:val="%1."/>
      <w:lvlJc w:val="left"/>
      <w:pPr>
        <w:tabs>
          <w:tab w:val="num" w:pos="1080"/>
        </w:tabs>
        <w:ind w:left="1080" w:hanging="360"/>
      </w:pPr>
      <w:rPr>
        <w:b w:val="0"/>
        <w:i w:val="0"/>
      </w:rPr>
    </w:lvl>
    <w:lvl w:ilvl="1">
      <w:start w:val="1"/>
      <w:numFmt w:val="decimal"/>
      <w:lvlText w:val="%2."/>
      <w:lvlJc w:val="left"/>
      <w:pPr>
        <w:tabs>
          <w:tab w:val="num" w:pos="810"/>
        </w:tabs>
        <w:ind w:left="810" w:hanging="360"/>
      </w:pPr>
    </w:lvl>
    <w:lvl w:ilvl="2" w:tentative="1">
      <w:start w:val="1"/>
      <w:numFmt w:val="upperLetter"/>
      <w:lvlText w:val="%3."/>
      <w:lvlJc w:val="left"/>
      <w:pPr>
        <w:tabs>
          <w:tab w:val="num" w:pos="2520"/>
        </w:tabs>
        <w:ind w:left="2520" w:hanging="360"/>
      </w:pPr>
    </w:lvl>
    <w:lvl w:ilvl="3" w:tentative="1">
      <w:start w:val="1"/>
      <w:numFmt w:val="upperLetter"/>
      <w:lvlText w:val="%4."/>
      <w:lvlJc w:val="left"/>
      <w:pPr>
        <w:tabs>
          <w:tab w:val="num" w:pos="3240"/>
        </w:tabs>
        <w:ind w:left="3240" w:hanging="360"/>
      </w:pPr>
    </w:lvl>
    <w:lvl w:ilvl="4" w:tentative="1">
      <w:start w:val="1"/>
      <w:numFmt w:val="upperLetter"/>
      <w:lvlText w:val="%5."/>
      <w:lvlJc w:val="left"/>
      <w:pPr>
        <w:tabs>
          <w:tab w:val="num" w:pos="3960"/>
        </w:tabs>
        <w:ind w:left="3960" w:hanging="360"/>
      </w:pPr>
    </w:lvl>
    <w:lvl w:ilvl="5" w:tentative="1">
      <w:start w:val="1"/>
      <w:numFmt w:val="upperLetter"/>
      <w:lvlText w:val="%6."/>
      <w:lvlJc w:val="left"/>
      <w:pPr>
        <w:tabs>
          <w:tab w:val="num" w:pos="4680"/>
        </w:tabs>
        <w:ind w:left="4680" w:hanging="360"/>
      </w:pPr>
    </w:lvl>
    <w:lvl w:ilvl="6" w:tentative="1">
      <w:start w:val="1"/>
      <w:numFmt w:val="upperLetter"/>
      <w:lvlText w:val="%7."/>
      <w:lvlJc w:val="left"/>
      <w:pPr>
        <w:tabs>
          <w:tab w:val="num" w:pos="5400"/>
        </w:tabs>
        <w:ind w:left="5400" w:hanging="360"/>
      </w:pPr>
    </w:lvl>
    <w:lvl w:ilvl="7" w:tentative="1">
      <w:start w:val="1"/>
      <w:numFmt w:val="upperLetter"/>
      <w:lvlText w:val="%8."/>
      <w:lvlJc w:val="left"/>
      <w:pPr>
        <w:tabs>
          <w:tab w:val="num" w:pos="6120"/>
        </w:tabs>
        <w:ind w:left="6120" w:hanging="360"/>
      </w:pPr>
    </w:lvl>
    <w:lvl w:ilvl="8" w:tentative="1">
      <w:start w:val="1"/>
      <w:numFmt w:val="upperLetter"/>
      <w:lvlText w:val="%9."/>
      <w:lvlJc w:val="left"/>
      <w:pPr>
        <w:tabs>
          <w:tab w:val="num" w:pos="6840"/>
        </w:tabs>
        <w:ind w:left="6840" w:hanging="360"/>
      </w:pPr>
    </w:lvl>
  </w:abstractNum>
  <w:abstractNum w:abstractNumId="10" w15:restartNumberingAfterBreak="0">
    <w:nsid w:val="45F80998"/>
    <w:multiLevelType w:val="hybridMultilevel"/>
    <w:tmpl w:val="DADE39FE"/>
    <w:lvl w:ilvl="0" w:tplc="2A5A26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A23B98"/>
    <w:multiLevelType w:val="hybridMultilevel"/>
    <w:tmpl w:val="B79445D0"/>
    <w:lvl w:ilvl="0" w:tplc="536CE76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FC875FA"/>
    <w:multiLevelType w:val="hybridMultilevel"/>
    <w:tmpl w:val="81B43894"/>
    <w:lvl w:ilvl="0" w:tplc="A03EEB7C">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557734"/>
    <w:multiLevelType w:val="hybridMultilevel"/>
    <w:tmpl w:val="9A0AF93A"/>
    <w:lvl w:ilvl="0" w:tplc="536CE762">
      <w:start w:val="1"/>
      <w:numFmt w:val="decimal"/>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5987C56"/>
    <w:multiLevelType w:val="hybridMultilevel"/>
    <w:tmpl w:val="AD3ED174"/>
    <w:lvl w:ilvl="0" w:tplc="5850681E">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5" w15:restartNumberingAfterBreak="0">
    <w:nsid w:val="60A85A4C"/>
    <w:multiLevelType w:val="hybridMultilevel"/>
    <w:tmpl w:val="2B4A2BA6"/>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70C0B10"/>
    <w:multiLevelType w:val="hybridMultilevel"/>
    <w:tmpl w:val="0840F390"/>
    <w:lvl w:ilvl="0" w:tplc="93047144">
      <w:start w:val="1"/>
      <w:numFmt w:val="lowerLetter"/>
      <w:lvlText w:val="%1."/>
      <w:lvlJc w:val="left"/>
      <w:pPr>
        <w:ind w:left="1534" w:hanging="360"/>
      </w:pPr>
      <w:rPr>
        <w:rFonts w:hint="default"/>
      </w:rPr>
    </w:lvl>
    <w:lvl w:ilvl="1" w:tplc="04090019" w:tentative="1">
      <w:start w:val="1"/>
      <w:numFmt w:val="lowerLetter"/>
      <w:lvlText w:val="%2."/>
      <w:lvlJc w:val="left"/>
      <w:pPr>
        <w:ind w:left="2254" w:hanging="360"/>
      </w:pPr>
    </w:lvl>
    <w:lvl w:ilvl="2" w:tplc="0409001B" w:tentative="1">
      <w:start w:val="1"/>
      <w:numFmt w:val="lowerRoman"/>
      <w:lvlText w:val="%3."/>
      <w:lvlJc w:val="right"/>
      <w:pPr>
        <w:ind w:left="2974" w:hanging="180"/>
      </w:pPr>
    </w:lvl>
    <w:lvl w:ilvl="3" w:tplc="0409000F" w:tentative="1">
      <w:start w:val="1"/>
      <w:numFmt w:val="decimal"/>
      <w:lvlText w:val="%4."/>
      <w:lvlJc w:val="left"/>
      <w:pPr>
        <w:ind w:left="3694" w:hanging="360"/>
      </w:pPr>
    </w:lvl>
    <w:lvl w:ilvl="4" w:tplc="04090019" w:tentative="1">
      <w:start w:val="1"/>
      <w:numFmt w:val="lowerLetter"/>
      <w:lvlText w:val="%5."/>
      <w:lvlJc w:val="left"/>
      <w:pPr>
        <w:ind w:left="4414" w:hanging="360"/>
      </w:pPr>
    </w:lvl>
    <w:lvl w:ilvl="5" w:tplc="0409001B" w:tentative="1">
      <w:start w:val="1"/>
      <w:numFmt w:val="lowerRoman"/>
      <w:lvlText w:val="%6."/>
      <w:lvlJc w:val="right"/>
      <w:pPr>
        <w:ind w:left="5134" w:hanging="180"/>
      </w:pPr>
    </w:lvl>
    <w:lvl w:ilvl="6" w:tplc="0409000F" w:tentative="1">
      <w:start w:val="1"/>
      <w:numFmt w:val="decimal"/>
      <w:lvlText w:val="%7."/>
      <w:lvlJc w:val="left"/>
      <w:pPr>
        <w:ind w:left="5854" w:hanging="360"/>
      </w:pPr>
    </w:lvl>
    <w:lvl w:ilvl="7" w:tplc="04090019" w:tentative="1">
      <w:start w:val="1"/>
      <w:numFmt w:val="lowerLetter"/>
      <w:lvlText w:val="%8."/>
      <w:lvlJc w:val="left"/>
      <w:pPr>
        <w:ind w:left="6574" w:hanging="360"/>
      </w:pPr>
    </w:lvl>
    <w:lvl w:ilvl="8" w:tplc="0409001B" w:tentative="1">
      <w:start w:val="1"/>
      <w:numFmt w:val="lowerRoman"/>
      <w:lvlText w:val="%9."/>
      <w:lvlJc w:val="right"/>
      <w:pPr>
        <w:ind w:left="7294" w:hanging="180"/>
      </w:pPr>
    </w:lvl>
  </w:abstractNum>
  <w:abstractNum w:abstractNumId="17" w15:restartNumberingAfterBreak="0">
    <w:nsid w:val="68857C95"/>
    <w:multiLevelType w:val="hybridMultilevel"/>
    <w:tmpl w:val="53623252"/>
    <w:lvl w:ilvl="0" w:tplc="BF76B6A4">
      <w:start w:val="1"/>
      <w:numFmt w:val="low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0DA1DE6"/>
    <w:multiLevelType w:val="hybridMultilevel"/>
    <w:tmpl w:val="6A885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437337"/>
    <w:multiLevelType w:val="hybridMultilevel"/>
    <w:tmpl w:val="1C900DD2"/>
    <w:lvl w:ilvl="0" w:tplc="994A44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2"/>
  </w:num>
  <w:num w:numId="3">
    <w:abstractNumId w:val="10"/>
  </w:num>
  <w:num w:numId="4">
    <w:abstractNumId w:val="19"/>
  </w:num>
  <w:num w:numId="5">
    <w:abstractNumId w:val="0"/>
  </w:num>
  <w:num w:numId="6">
    <w:abstractNumId w:val="1"/>
  </w:num>
  <w:num w:numId="7">
    <w:abstractNumId w:val="14"/>
  </w:num>
  <w:num w:numId="8">
    <w:abstractNumId w:val="3"/>
  </w:num>
  <w:num w:numId="9">
    <w:abstractNumId w:val="5"/>
  </w:num>
  <w:num w:numId="10">
    <w:abstractNumId w:val="9"/>
  </w:num>
  <w:num w:numId="11">
    <w:abstractNumId w:val="4"/>
  </w:num>
  <w:num w:numId="12">
    <w:abstractNumId w:val="6"/>
  </w:num>
  <w:num w:numId="13">
    <w:abstractNumId w:val="16"/>
  </w:num>
  <w:num w:numId="14">
    <w:abstractNumId w:val="8"/>
  </w:num>
  <w:num w:numId="15">
    <w:abstractNumId w:val="7"/>
  </w:num>
  <w:num w:numId="16">
    <w:abstractNumId w:val="18"/>
  </w:num>
  <w:num w:numId="17">
    <w:abstractNumId w:val="11"/>
  </w:num>
  <w:num w:numId="18">
    <w:abstractNumId w:val="13"/>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1DE"/>
    <w:rsid w:val="000356F0"/>
    <w:rsid w:val="00046FAF"/>
    <w:rsid w:val="000535D8"/>
    <w:rsid w:val="00060DE6"/>
    <w:rsid w:val="00071ACD"/>
    <w:rsid w:val="00086349"/>
    <w:rsid w:val="00092104"/>
    <w:rsid w:val="000A350C"/>
    <w:rsid w:val="000A62BD"/>
    <w:rsid w:val="000B00F2"/>
    <w:rsid w:val="000B2737"/>
    <w:rsid w:val="000D6114"/>
    <w:rsid w:val="000E317D"/>
    <w:rsid w:val="000E7C16"/>
    <w:rsid w:val="00100C73"/>
    <w:rsid w:val="00110C42"/>
    <w:rsid w:val="00115E60"/>
    <w:rsid w:val="00123669"/>
    <w:rsid w:val="0012727F"/>
    <w:rsid w:val="00143F93"/>
    <w:rsid w:val="001465E3"/>
    <w:rsid w:val="001470C5"/>
    <w:rsid w:val="00161522"/>
    <w:rsid w:val="001651DE"/>
    <w:rsid w:val="00196DF8"/>
    <w:rsid w:val="00197AB0"/>
    <w:rsid w:val="001A7E5F"/>
    <w:rsid w:val="001C7CCF"/>
    <w:rsid w:val="001D7ABB"/>
    <w:rsid w:val="001E48FB"/>
    <w:rsid w:val="00201D7B"/>
    <w:rsid w:val="00224837"/>
    <w:rsid w:val="0022498A"/>
    <w:rsid w:val="00260157"/>
    <w:rsid w:val="00291DD4"/>
    <w:rsid w:val="002958B9"/>
    <w:rsid w:val="002F49C7"/>
    <w:rsid w:val="00315D6E"/>
    <w:rsid w:val="00324204"/>
    <w:rsid w:val="00341E8C"/>
    <w:rsid w:val="003446F7"/>
    <w:rsid w:val="00355472"/>
    <w:rsid w:val="00384EF7"/>
    <w:rsid w:val="003879EA"/>
    <w:rsid w:val="003B2B31"/>
    <w:rsid w:val="003E554B"/>
    <w:rsid w:val="003E573A"/>
    <w:rsid w:val="004370E9"/>
    <w:rsid w:val="00442F53"/>
    <w:rsid w:val="00445DC3"/>
    <w:rsid w:val="004529E6"/>
    <w:rsid w:val="004803DF"/>
    <w:rsid w:val="004A0A53"/>
    <w:rsid w:val="004A3D48"/>
    <w:rsid w:val="004A5B1C"/>
    <w:rsid w:val="004C394A"/>
    <w:rsid w:val="005021F4"/>
    <w:rsid w:val="0052084E"/>
    <w:rsid w:val="005331B5"/>
    <w:rsid w:val="005A2CCE"/>
    <w:rsid w:val="005A3626"/>
    <w:rsid w:val="005F44F4"/>
    <w:rsid w:val="00602627"/>
    <w:rsid w:val="00602641"/>
    <w:rsid w:val="00617AA2"/>
    <w:rsid w:val="00631AC6"/>
    <w:rsid w:val="0065060C"/>
    <w:rsid w:val="006518DB"/>
    <w:rsid w:val="0065605F"/>
    <w:rsid w:val="0068506D"/>
    <w:rsid w:val="006A3916"/>
    <w:rsid w:val="006D3991"/>
    <w:rsid w:val="006E3752"/>
    <w:rsid w:val="00716AA5"/>
    <w:rsid w:val="00726B93"/>
    <w:rsid w:val="0073069C"/>
    <w:rsid w:val="00746656"/>
    <w:rsid w:val="00747CC9"/>
    <w:rsid w:val="00753744"/>
    <w:rsid w:val="00785E79"/>
    <w:rsid w:val="007907BC"/>
    <w:rsid w:val="007974F6"/>
    <w:rsid w:val="007B3F18"/>
    <w:rsid w:val="007B5D81"/>
    <w:rsid w:val="007C0FB8"/>
    <w:rsid w:val="007C751B"/>
    <w:rsid w:val="007D4EDF"/>
    <w:rsid w:val="007E667E"/>
    <w:rsid w:val="007F19E3"/>
    <w:rsid w:val="007F7142"/>
    <w:rsid w:val="00800D5E"/>
    <w:rsid w:val="00806220"/>
    <w:rsid w:val="00833299"/>
    <w:rsid w:val="0085644D"/>
    <w:rsid w:val="00861C52"/>
    <w:rsid w:val="0087750C"/>
    <w:rsid w:val="00884EDC"/>
    <w:rsid w:val="00886D7D"/>
    <w:rsid w:val="008C142F"/>
    <w:rsid w:val="008C3581"/>
    <w:rsid w:val="008C6039"/>
    <w:rsid w:val="008C6748"/>
    <w:rsid w:val="009005D9"/>
    <w:rsid w:val="00911533"/>
    <w:rsid w:val="0092035C"/>
    <w:rsid w:val="0092301A"/>
    <w:rsid w:val="009241D9"/>
    <w:rsid w:val="00946ABD"/>
    <w:rsid w:val="00957091"/>
    <w:rsid w:val="0097457D"/>
    <w:rsid w:val="00975CB6"/>
    <w:rsid w:val="00995CEB"/>
    <w:rsid w:val="009A347F"/>
    <w:rsid w:val="009A394A"/>
    <w:rsid w:val="009B012F"/>
    <w:rsid w:val="009D1E29"/>
    <w:rsid w:val="009D66B5"/>
    <w:rsid w:val="009F4B1B"/>
    <w:rsid w:val="00A00124"/>
    <w:rsid w:val="00A15F59"/>
    <w:rsid w:val="00A27612"/>
    <w:rsid w:val="00A6118F"/>
    <w:rsid w:val="00A623B7"/>
    <w:rsid w:val="00A85147"/>
    <w:rsid w:val="00AA0EF6"/>
    <w:rsid w:val="00AB1083"/>
    <w:rsid w:val="00AD1B4F"/>
    <w:rsid w:val="00AE1F70"/>
    <w:rsid w:val="00B13392"/>
    <w:rsid w:val="00B14E81"/>
    <w:rsid w:val="00B15ADD"/>
    <w:rsid w:val="00B15FE1"/>
    <w:rsid w:val="00B17B8A"/>
    <w:rsid w:val="00B2190E"/>
    <w:rsid w:val="00B2387F"/>
    <w:rsid w:val="00B403E9"/>
    <w:rsid w:val="00B52E23"/>
    <w:rsid w:val="00B76EC0"/>
    <w:rsid w:val="00B81E28"/>
    <w:rsid w:val="00BC106C"/>
    <w:rsid w:val="00C01904"/>
    <w:rsid w:val="00C05DB3"/>
    <w:rsid w:val="00C11E5F"/>
    <w:rsid w:val="00C224E3"/>
    <w:rsid w:val="00C320C6"/>
    <w:rsid w:val="00C346D5"/>
    <w:rsid w:val="00C72696"/>
    <w:rsid w:val="00C74070"/>
    <w:rsid w:val="00C8116A"/>
    <w:rsid w:val="00C95A66"/>
    <w:rsid w:val="00CB2FE0"/>
    <w:rsid w:val="00CD185E"/>
    <w:rsid w:val="00CD5049"/>
    <w:rsid w:val="00CE2187"/>
    <w:rsid w:val="00CF2150"/>
    <w:rsid w:val="00CF4CF5"/>
    <w:rsid w:val="00D01A9B"/>
    <w:rsid w:val="00D0781A"/>
    <w:rsid w:val="00D120B9"/>
    <w:rsid w:val="00D41A59"/>
    <w:rsid w:val="00D55074"/>
    <w:rsid w:val="00D7593F"/>
    <w:rsid w:val="00D779C7"/>
    <w:rsid w:val="00DA21CE"/>
    <w:rsid w:val="00DC6AA3"/>
    <w:rsid w:val="00DD0E00"/>
    <w:rsid w:val="00DD23E3"/>
    <w:rsid w:val="00DE31B6"/>
    <w:rsid w:val="00DF3BA5"/>
    <w:rsid w:val="00DF5185"/>
    <w:rsid w:val="00E07C71"/>
    <w:rsid w:val="00E33CF5"/>
    <w:rsid w:val="00E5231F"/>
    <w:rsid w:val="00E626E7"/>
    <w:rsid w:val="00E86108"/>
    <w:rsid w:val="00E930C4"/>
    <w:rsid w:val="00E978E7"/>
    <w:rsid w:val="00EB414F"/>
    <w:rsid w:val="00EC6368"/>
    <w:rsid w:val="00EE2375"/>
    <w:rsid w:val="00F05126"/>
    <w:rsid w:val="00F078CD"/>
    <w:rsid w:val="00F12B93"/>
    <w:rsid w:val="00F15EF7"/>
    <w:rsid w:val="00F2070A"/>
    <w:rsid w:val="00F22DCA"/>
    <w:rsid w:val="00F70D5A"/>
    <w:rsid w:val="00F96E94"/>
    <w:rsid w:val="00F97B2A"/>
    <w:rsid w:val="00FB510F"/>
    <w:rsid w:val="00FE7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0812F1"/>
  <w15:chartTrackingRefBased/>
  <w15:docId w15:val="{E84C3241-94CC-4D5B-A4B0-507ED31DC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1651DE"/>
    <w:rPr>
      <w:i/>
      <w:iCs/>
    </w:rPr>
  </w:style>
  <w:style w:type="character" w:styleId="SubtleEmphasis">
    <w:name w:val="Subtle Emphasis"/>
    <w:basedOn w:val="DefaultParagraphFont"/>
    <w:uiPriority w:val="19"/>
    <w:qFormat/>
    <w:rsid w:val="001651DE"/>
    <w:rPr>
      <w:i/>
      <w:iCs/>
      <w:color w:val="404040" w:themeColor="text1" w:themeTint="BF"/>
    </w:rPr>
  </w:style>
  <w:style w:type="character" w:styleId="IntenseEmphasis">
    <w:name w:val="Intense Emphasis"/>
    <w:basedOn w:val="DefaultParagraphFont"/>
    <w:uiPriority w:val="21"/>
    <w:qFormat/>
    <w:rsid w:val="001651DE"/>
    <w:rPr>
      <w:i/>
      <w:iCs/>
      <w:color w:val="5B9BD5" w:themeColor="accent1"/>
    </w:rPr>
  </w:style>
  <w:style w:type="character" w:styleId="BookTitle">
    <w:name w:val="Book Title"/>
    <w:basedOn w:val="DefaultParagraphFont"/>
    <w:uiPriority w:val="33"/>
    <w:qFormat/>
    <w:rsid w:val="001651DE"/>
    <w:rPr>
      <w:b/>
      <w:bCs/>
      <w:i/>
      <w:iCs/>
      <w:spacing w:val="5"/>
    </w:rPr>
  </w:style>
  <w:style w:type="paragraph" w:styleId="Title">
    <w:name w:val="Title"/>
    <w:basedOn w:val="Normal"/>
    <w:next w:val="Normal"/>
    <w:link w:val="TitleChar"/>
    <w:uiPriority w:val="10"/>
    <w:qFormat/>
    <w:rsid w:val="001651D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51DE"/>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1651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1DE"/>
  </w:style>
  <w:style w:type="paragraph" w:styleId="Footer">
    <w:name w:val="footer"/>
    <w:basedOn w:val="Normal"/>
    <w:link w:val="FooterChar"/>
    <w:uiPriority w:val="99"/>
    <w:unhideWhenUsed/>
    <w:rsid w:val="001651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1DE"/>
  </w:style>
  <w:style w:type="paragraph" w:styleId="ListParagraph">
    <w:name w:val="List Paragraph"/>
    <w:basedOn w:val="Normal"/>
    <w:uiPriority w:val="34"/>
    <w:qFormat/>
    <w:rsid w:val="00A623B7"/>
    <w:pPr>
      <w:ind w:left="720"/>
      <w:contextualSpacing/>
    </w:pPr>
  </w:style>
  <w:style w:type="table" w:styleId="TableGrid">
    <w:name w:val="Table Grid"/>
    <w:basedOn w:val="TableNormal"/>
    <w:uiPriority w:val="39"/>
    <w:rsid w:val="007C0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C6368"/>
    <w:pPr>
      <w:spacing w:after="120"/>
    </w:pPr>
  </w:style>
  <w:style w:type="character" w:customStyle="1" w:styleId="BodyTextChar">
    <w:name w:val="Body Text Char"/>
    <w:basedOn w:val="DefaultParagraphFont"/>
    <w:link w:val="BodyText"/>
    <w:uiPriority w:val="99"/>
    <w:rsid w:val="00EC6368"/>
  </w:style>
  <w:style w:type="character" w:styleId="Hyperlink">
    <w:name w:val="Hyperlink"/>
    <w:basedOn w:val="DefaultParagraphFont"/>
    <w:uiPriority w:val="99"/>
    <w:unhideWhenUsed/>
    <w:rsid w:val="00DC6AA3"/>
    <w:rPr>
      <w:color w:val="0563C1" w:themeColor="hyperlink"/>
      <w:u w:val="single"/>
    </w:rPr>
  </w:style>
  <w:style w:type="paragraph" w:styleId="BalloonText">
    <w:name w:val="Balloon Text"/>
    <w:basedOn w:val="Normal"/>
    <w:link w:val="BalloonTextChar"/>
    <w:uiPriority w:val="99"/>
    <w:semiHidden/>
    <w:unhideWhenUsed/>
    <w:rsid w:val="004A3D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D48"/>
    <w:rPr>
      <w:rFonts w:ascii="Segoe UI" w:hAnsi="Segoe UI" w:cs="Segoe UI"/>
      <w:sz w:val="18"/>
      <w:szCs w:val="18"/>
    </w:rPr>
  </w:style>
  <w:style w:type="paragraph" w:styleId="BodyTextIndent">
    <w:name w:val="Body Text Indent"/>
    <w:basedOn w:val="Normal"/>
    <w:link w:val="BodyTextIndentChar"/>
    <w:uiPriority w:val="99"/>
    <w:unhideWhenUsed/>
    <w:rsid w:val="00A27612"/>
    <w:pPr>
      <w:spacing w:after="120"/>
      <w:ind w:left="360"/>
    </w:pPr>
  </w:style>
  <w:style w:type="character" w:customStyle="1" w:styleId="BodyTextIndentChar">
    <w:name w:val="Body Text Indent Char"/>
    <w:basedOn w:val="DefaultParagraphFont"/>
    <w:link w:val="BodyTextIndent"/>
    <w:uiPriority w:val="99"/>
    <w:rsid w:val="00A276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151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encodeplus.com/regs/charlestoncounty-sc/doc-view.aspx?pn=0&amp;ajax=0&amp;secid=1291" TargetMode="External"/><Relationship Id="rId13" Type="http://schemas.openxmlformats.org/officeDocument/2006/relationships/hyperlink" Target="http://www.online.encodeplus.com/regs/charlestoncounty-sc/doc-view.aspx?pn=0&amp;ajax=0&amp;secid=126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line.encodeplus.com/regs/charlestoncounty-sc/doc-view.aspx?pn=0&amp;ajax=0&amp;secid=1010" TargetMode="External"/><Relationship Id="rId12" Type="http://schemas.openxmlformats.org/officeDocument/2006/relationships/hyperlink" Target="http://www.online.encodeplus.com/regs/charlestoncounty-sc/doc-view.aspx?pn=0&amp;ajax=0&amp;secid=1053"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nline.encodeplus.com/regs/charlestoncounty-sc/doc-view.aspx?pn=0&amp;ajax=0&amp;secid=1011" TargetMode="External"/><Relationship Id="rId5" Type="http://schemas.openxmlformats.org/officeDocument/2006/relationships/footnotes" Target="footnotes.xml"/><Relationship Id="rId15" Type="http://schemas.openxmlformats.org/officeDocument/2006/relationships/hyperlink" Target="http://www.online.encodeplus.com/regs/charlestoncounty-sc/doc-view.aspx?pn=0&amp;ajax=0&amp;secid=1175" TargetMode="External"/><Relationship Id="rId10" Type="http://schemas.openxmlformats.org/officeDocument/2006/relationships/hyperlink" Target="http://www.online.encodeplus.com/regs/charlestoncounty-sc/doc-view.aspx?pn=0&amp;ajax=0&amp;secid=9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online.encodeplus.com/regs/charlestoncounty-sc/doc-view.aspx?pn=0&amp;ajax=0&amp;secid=849" TargetMode="External"/><Relationship Id="rId14" Type="http://schemas.openxmlformats.org/officeDocument/2006/relationships/hyperlink" Target="http://www.online.encodeplus.com/regs/charlestoncounty-sc/doc-view.aspx?pn=0&amp;ajax=0&amp;secid=8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2149</Words>
  <Characters>12254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14375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Sievers</dc:creator>
  <cp:keywords/>
  <dc:description/>
  <cp:lastModifiedBy>Albertina Young</cp:lastModifiedBy>
  <cp:revision>8</cp:revision>
  <cp:lastPrinted>2018-04-30T19:07:00Z</cp:lastPrinted>
  <dcterms:created xsi:type="dcterms:W3CDTF">2019-02-19T15:38:00Z</dcterms:created>
  <dcterms:modified xsi:type="dcterms:W3CDTF">2019-06-06T12:23:00Z</dcterms:modified>
</cp:coreProperties>
</file>